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3C" w:rsidRPr="00235766" w:rsidRDefault="00CF6A5C" w:rsidP="00C77A3C">
      <w:pPr>
        <w:pStyle w:val="ExhibitHeading"/>
      </w:pPr>
      <w:bookmarkStart w:id="0" w:name="ExhibitNumber"/>
      <w:r>
        <w:t>RFP A</w:t>
      </w:r>
      <w:r w:rsidR="001841FD">
        <w:t xml:space="preserve">ppendix </w:t>
      </w:r>
      <w:r w:rsidR="001841FD" w:rsidRPr="001841FD">
        <w:t>A.2 (Wind)</w:t>
      </w:r>
      <w:bookmarkEnd w:id="0"/>
    </w:p>
    <w:p w:rsidR="00C77A3C" w:rsidRDefault="00434866" w:rsidP="00C77A3C">
      <w:pPr>
        <w:pStyle w:val="ExhibitName"/>
      </w:pPr>
      <w:bookmarkStart w:id="1" w:name="ExhibitName"/>
      <w:r>
        <w:t>Definition</w:t>
      </w:r>
      <w:r w:rsidR="00955FC8">
        <w:t>s (PPA or</w:t>
      </w:r>
      <w:r w:rsidR="00E3623B">
        <w:t xml:space="preserve"> BTA</w:t>
      </w:r>
      <w:r w:rsidR="00955FC8">
        <w:t>)</w:t>
      </w:r>
      <w:bookmarkEnd w:id="1"/>
    </w:p>
    <w:p w:rsidR="00D139D3" w:rsidRDefault="00434866" w:rsidP="00D139D3">
      <w:pPr>
        <w:pStyle w:val="ParagraphText"/>
      </w:pPr>
      <w:r>
        <w:t>The following words shall have the respective meanings set forth below when used in</w:t>
      </w:r>
      <w:r w:rsidR="001841FD">
        <w:t xml:space="preserve"> </w:t>
      </w:r>
      <w:r w:rsidR="001841FD" w:rsidRPr="00383071">
        <w:rPr>
          <w:u w:val="single"/>
        </w:rPr>
        <w:t>Appendix A (Wind)</w:t>
      </w:r>
      <w:r>
        <w:t>.</w:t>
      </w:r>
    </w:p>
    <w:p w:rsidR="0039784B" w:rsidRDefault="0039784B" w:rsidP="00D139D3">
      <w:pPr>
        <w:pStyle w:val="ParagraphText"/>
      </w:pPr>
      <w:r>
        <w:t>“</w:t>
      </w:r>
      <w:r>
        <w:rPr>
          <w:b/>
        </w:rPr>
        <w:t>Access Roads</w:t>
      </w:r>
      <w:r>
        <w:t>” means all of the complete, fully-functional roads to be constructed by Contractor under the Agreement.</w:t>
      </w:r>
    </w:p>
    <w:p w:rsidR="0039784B" w:rsidRDefault="0039784B" w:rsidP="0039784B">
      <w:pPr>
        <w:pStyle w:val="ParagraphText"/>
      </w:pPr>
      <w:r>
        <w:t>“</w:t>
      </w:r>
      <w:r>
        <w:rPr>
          <w:b/>
        </w:rPr>
        <w:t>Agreement</w:t>
      </w:r>
      <w:r>
        <w:t>” means t</w:t>
      </w:r>
      <w:r w:rsidRPr="0039784B">
        <w:t>he written agreement between Owner and Contractor covering the furnishing of Work and other services in connection therewith.  Other documents and deliverables are attached to the Agreement and made a part thereof as provided therein.</w:t>
      </w:r>
    </w:p>
    <w:p w:rsidR="0039784B" w:rsidRDefault="0039784B" w:rsidP="003504FF">
      <w:pPr>
        <w:pStyle w:val="ParagraphText"/>
      </w:pPr>
      <w:r>
        <w:t>“</w:t>
      </w:r>
      <w:r>
        <w:rPr>
          <w:b/>
        </w:rPr>
        <w:t>Applicable Standards</w:t>
      </w:r>
      <w:r>
        <w:t xml:space="preserve">” </w:t>
      </w:r>
      <w:r w:rsidR="008478E3">
        <w:t xml:space="preserve">has the meaning set forth in </w:t>
      </w:r>
      <w:r w:rsidR="00CA5765">
        <w:t>the Work Specifications</w:t>
      </w:r>
      <w:r w:rsidRPr="0039784B">
        <w:t>.</w:t>
      </w:r>
    </w:p>
    <w:p w:rsidR="0039784B" w:rsidRDefault="0039784B" w:rsidP="0039784B">
      <w:pPr>
        <w:pStyle w:val="ParagraphText"/>
      </w:pPr>
      <w:r>
        <w:t>“</w:t>
      </w:r>
      <w:r w:rsidR="004547ED">
        <w:rPr>
          <w:b/>
        </w:rPr>
        <w:t>As-Built Drawings</w:t>
      </w:r>
      <w:r>
        <w:t xml:space="preserve">” means </w:t>
      </w:r>
      <w:r w:rsidR="004547ED" w:rsidRPr="004547ED">
        <w:t>a complete set of drawings</w:t>
      </w:r>
      <w:r w:rsidR="004547ED">
        <w:t xml:space="preserve"> </w:t>
      </w:r>
      <w:r w:rsidR="004547ED" w:rsidRPr="004547ED">
        <w:t xml:space="preserve">prepared by Contractor or a Subcontractor which accurately and completely represent the Work as </w:t>
      </w:r>
      <w:r w:rsidR="004547ED">
        <w:t>constructed</w:t>
      </w:r>
      <w:r w:rsidR="004547ED" w:rsidRPr="004547ED">
        <w:t xml:space="preserve"> and install</w:t>
      </w:r>
      <w:r w:rsidR="004547ED">
        <w:t>ed</w:t>
      </w:r>
      <w:r w:rsidRPr="0039784B">
        <w:t>.</w:t>
      </w:r>
    </w:p>
    <w:p w:rsidR="0039784B" w:rsidRDefault="0039784B" w:rsidP="0039784B">
      <w:pPr>
        <w:pStyle w:val="ParagraphText"/>
      </w:pPr>
      <w:r>
        <w:t>“</w:t>
      </w:r>
      <w:r w:rsidR="004547ED">
        <w:rPr>
          <w:b/>
        </w:rPr>
        <w:t>BOP</w:t>
      </w:r>
      <w:r>
        <w:t xml:space="preserve">” means </w:t>
      </w:r>
      <w:r w:rsidR="004547ED">
        <w:t>balance-of-plant</w:t>
      </w:r>
      <w:r w:rsidRPr="0039784B">
        <w:t>.</w:t>
      </w:r>
    </w:p>
    <w:p w:rsidR="0039784B" w:rsidRDefault="0039784B" w:rsidP="004547ED">
      <w:pPr>
        <w:pStyle w:val="ParagraphText"/>
      </w:pPr>
      <w:r>
        <w:t>“</w:t>
      </w:r>
      <w:r w:rsidR="004547ED">
        <w:rPr>
          <w:b/>
        </w:rPr>
        <w:t>Collection System Circuit</w:t>
      </w:r>
      <w:r>
        <w:t>” means</w:t>
      </w:r>
      <w:r w:rsidR="004547ED" w:rsidRPr="004547ED">
        <w:t xml:space="preserve"> </w:t>
      </w:r>
      <w:r w:rsidR="004547ED">
        <w:t>the permanent electrical and communications infrastructure required to transmit energy and performance and operating data between each Wind Turbine and the Project Substation, or to the Turbine SCADA System control panel as appropriate.</w:t>
      </w:r>
    </w:p>
    <w:p w:rsidR="0039784B" w:rsidRDefault="0039784B" w:rsidP="0039784B">
      <w:pPr>
        <w:pStyle w:val="ParagraphText"/>
      </w:pPr>
      <w:r w:rsidRPr="00DC2857">
        <w:t>“</w:t>
      </w:r>
      <w:r w:rsidR="002603B1" w:rsidRPr="00DC2857">
        <w:rPr>
          <w:b/>
        </w:rPr>
        <w:t>Communications System</w:t>
      </w:r>
      <w:r w:rsidRPr="00DC2857">
        <w:t xml:space="preserve">” means </w:t>
      </w:r>
      <w:r w:rsidR="002603B1" w:rsidRPr="00DC2857">
        <w:t>the supervisory, control, and data acquisition system for the Project Substation equipment (including all breakers, switches, transformers, relays, and meters) and permanent meteorological towers</w:t>
      </w:r>
      <w:r w:rsidR="00DC2857" w:rsidRPr="00DC2857">
        <w:t xml:space="preserve">; </w:t>
      </w:r>
      <w:r w:rsidR="002603B1" w:rsidRPr="00DC2857">
        <w:t>all fiber optic cabling and supporting devices within the Collection System Circuits</w:t>
      </w:r>
      <w:r w:rsidR="00DC2857" w:rsidRPr="00DC2857">
        <w:t>; and the Turbine SCADA System</w:t>
      </w:r>
      <w:r w:rsidR="002603B1" w:rsidRPr="00DC2857">
        <w:t>.</w:t>
      </w:r>
    </w:p>
    <w:p w:rsidR="0039784B" w:rsidRDefault="0039784B" w:rsidP="0039784B">
      <w:pPr>
        <w:pStyle w:val="ParagraphText"/>
      </w:pPr>
      <w:r>
        <w:t>“</w:t>
      </w:r>
      <w:r w:rsidR="002603B1">
        <w:rPr>
          <w:b/>
        </w:rPr>
        <w:t>Contractor</w:t>
      </w:r>
      <w:r>
        <w:t xml:space="preserve">” means </w:t>
      </w:r>
      <w:r w:rsidR="002603B1">
        <w:t>t</w:t>
      </w:r>
      <w:r w:rsidR="002603B1" w:rsidRPr="002603B1">
        <w:t>he person, firm, or corporation with whom Owner has entered into the Agreement.</w:t>
      </w:r>
    </w:p>
    <w:p w:rsidR="004547ED" w:rsidRDefault="004547ED" w:rsidP="002643F8">
      <w:pPr>
        <w:pStyle w:val="ParagraphText"/>
      </w:pPr>
      <w:r>
        <w:t>“</w:t>
      </w:r>
      <w:r w:rsidR="002643F8">
        <w:rPr>
          <w:b/>
        </w:rPr>
        <w:t>Contractor Deliverables</w:t>
      </w:r>
      <w:r>
        <w:t xml:space="preserve">” means </w:t>
      </w:r>
      <w:r w:rsidR="002643F8">
        <w:t>a</w:t>
      </w:r>
      <w:r w:rsidR="002643F8" w:rsidRPr="002643F8">
        <w:t xml:space="preserve">ll </w:t>
      </w:r>
      <w:r w:rsidR="002643F8">
        <w:t xml:space="preserve">drawings, plans, studies, reports, calculations, specifications, pictures, videos, test results, manuals, completion certificates, completion procedures, checklists, documents, </w:t>
      </w:r>
      <w:r w:rsidR="002643F8" w:rsidRPr="002643F8">
        <w:t>and other similar items necessary for the successful completion of the Work</w:t>
      </w:r>
      <w:r w:rsidR="002643F8">
        <w:t>.</w:t>
      </w:r>
    </w:p>
    <w:p w:rsidR="004547ED" w:rsidRDefault="004547ED" w:rsidP="004547ED">
      <w:pPr>
        <w:pStyle w:val="ParagraphText"/>
      </w:pPr>
      <w:r>
        <w:t>“</w:t>
      </w:r>
      <w:r w:rsidR="002643F8">
        <w:rPr>
          <w:b/>
        </w:rPr>
        <w:t>Equipment</w:t>
      </w:r>
      <w:r>
        <w:t xml:space="preserve">” means </w:t>
      </w:r>
      <w:r w:rsidR="002643F8">
        <w:t>a</w:t>
      </w:r>
      <w:r w:rsidR="002643F8" w:rsidRPr="002643F8">
        <w:t>ll of the parts, components, equipment, materials, apparatus, structures, tools, supplies, consumables, goods, and other items required or appropriate for a complete, fully-functional Project or that otherwise form or are intended to form part of the Work or the Project, including all equipment, materials, apparatus, structures, tools, supplies and other goods provided and used by Contractor and the Subcontractors for performance of the Work, but that are not incorporated into the Project, and excluding all Owner-Supplied Equipment.</w:t>
      </w:r>
    </w:p>
    <w:p w:rsidR="00CE7631" w:rsidRDefault="00CE7631" w:rsidP="00CE7631">
      <w:pPr>
        <w:pStyle w:val="ParagraphText"/>
      </w:pPr>
      <w:r>
        <w:t>“</w:t>
      </w:r>
      <w:r>
        <w:rPr>
          <w:b/>
        </w:rPr>
        <w:t>Foundation</w:t>
      </w:r>
      <w:r>
        <w:t>” means each Wind Turbine foundation</w:t>
      </w:r>
      <w:r w:rsidRPr="0039784B">
        <w:t>.</w:t>
      </w:r>
    </w:p>
    <w:p w:rsidR="004547ED" w:rsidRDefault="004547ED" w:rsidP="004547ED">
      <w:pPr>
        <w:pStyle w:val="ParagraphText"/>
      </w:pPr>
      <w:r>
        <w:t>“</w:t>
      </w:r>
      <w:r w:rsidR="00CE7631">
        <w:rPr>
          <w:b/>
        </w:rPr>
        <w:t>Job Book</w:t>
      </w:r>
      <w:r>
        <w:t xml:space="preserve">” means </w:t>
      </w:r>
      <w:r w:rsidR="00CE7631">
        <w:t>a</w:t>
      </w:r>
      <w:r w:rsidR="00CE7631" w:rsidRPr="00CE7631">
        <w:t xml:space="preserve"> manual to be prepared by Contractor and approved by Owner, which will include all Contractor engineering, design, purchasing, and other information relating to the Work.</w:t>
      </w:r>
    </w:p>
    <w:p w:rsidR="004547ED" w:rsidRDefault="004547ED" w:rsidP="004547ED">
      <w:pPr>
        <w:pStyle w:val="ParagraphText"/>
      </w:pPr>
      <w:r>
        <w:t>“</w:t>
      </w:r>
      <w:r w:rsidR="00CE7631">
        <w:rPr>
          <w:b/>
        </w:rPr>
        <w:t>Interconnection Line</w:t>
      </w:r>
      <w:r>
        <w:t xml:space="preserve">” means </w:t>
      </w:r>
      <w:r w:rsidR="00CE7631">
        <w:t>t</w:t>
      </w:r>
      <w:r w:rsidR="00CE7631" w:rsidRPr="00CE7631">
        <w:t>he</w:t>
      </w:r>
      <w:r w:rsidR="00383071">
        <w:t xml:space="preserve"> [TBD]</w:t>
      </w:r>
      <w:r w:rsidR="00CE7631" w:rsidRPr="00CE7631">
        <w:t xml:space="preserve">-kV high-voltage transmission line connecting the Project Substation with the </w:t>
      </w:r>
      <w:r w:rsidR="00CE7631">
        <w:t>Point of Interconnection</w:t>
      </w:r>
      <w:r w:rsidRPr="0039784B">
        <w:t>.</w:t>
      </w:r>
      <w:r w:rsidR="00383071">
        <w:t xml:space="preserve">  “TBD” is a Project-specific voltage to be specified in the Proposal, but generally expected to be 115 kV or greater.</w:t>
      </w:r>
    </w:p>
    <w:p w:rsidR="004547ED" w:rsidRDefault="004547ED" w:rsidP="004547ED">
      <w:pPr>
        <w:pStyle w:val="ParagraphText"/>
      </w:pPr>
      <w:r>
        <w:t>“</w:t>
      </w:r>
      <w:r w:rsidR="00CE7631">
        <w:rPr>
          <w:b/>
        </w:rPr>
        <w:t>O&amp;M Building</w:t>
      </w:r>
      <w:r>
        <w:t xml:space="preserve">” means </w:t>
      </w:r>
      <w:r w:rsidR="00CE7631">
        <w:t>the operations and maintenance building for the Project</w:t>
      </w:r>
      <w:r w:rsidRPr="0039784B">
        <w:t>.</w:t>
      </w:r>
    </w:p>
    <w:p w:rsidR="004547ED" w:rsidRDefault="004547ED" w:rsidP="004547ED">
      <w:pPr>
        <w:pStyle w:val="ParagraphText"/>
      </w:pPr>
      <w:r>
        <w:lastRenderedPageBreak/>
        <w:t>“</w:t>
      </w:r>
      <w:r w:rsidR="00CE7631">
        <w:rPr>
          <w:b/>
        </w:rPr>
        <w:t>Owner</w:t>
      </w:r>
      <w:r>
        <w:t xml:space="preserve">” means </w:t>
      </w:r>
      <w:r w:rsidR="00383071">
        <w:t>PacifiCorp</w:t>
      </w:r>
      <w:r w:rsidRPr="0039784B">
        <w:t>.</w:t>
      </w:r>
    </w:p>
    <w:p w:rsidR="004547ED" w:rsidRDefault="004547ED" w:rsidP="004547ED">
      <w:pPr>
        <w:pStyle w:val="ParagraphText"/>
      </w:pPr>
      <w:r w:rsidRPr="00EE5D59">
        <w:t>“</w:t>
      </w:r>
      <w:r w:rsidR="00CE7631" w:rsidRPr="00EE5D59">
        <w:rPr>
          <w:b/>
        </w:rPr>
        <w:t>Point of Interconnection</w:t>
      </w:r>
      <w:r w:rsidRPr="00EE5D59">
        <w:t>” means</w:t>
      </w:r>
      <w:r w:rsidR="003504FF" w:rsidRPr="00EE5D59">
        <w:t xml:space="preserve"> the point where the Interconnection Line connects to the interconnection facilities constructed and owned by the interconnecting utility to which electrical power produced by the Project will be delivered.</w:t>
      </w:r>
    </w:p>
    <w:p w:rsidR="004547ED" w:rsidRDefault="004547ED" w:rsidP="004547ED">
      <w:pPr>
        <w:pStyle w:val="ParagraphText"/>
      </w:pPr>
      <w:r>
        <w:t>“</w:t>
      </w:r>
      <w:r w:rsidR="00CE7631">
        <w:rPr>
          <w:b/>
        </w:rPr>
        <w:t>Project</w:t>
      </w:r>
      <w:r>
        <w:t xml:space="preserve">” means </w:t>
      </w:r>
      <w:r w:rsidR="00CE7631">
        <w:t>the generating facility described in the Proposal</w:t>
      </w:r>
      <w:r w:rsidRPr="0039784B">
        <w:t>.</w:t>
      </w:r>
    </w:p>
    <w:p w:rsidR="004547ED" w:rsidRDefault="004547ED" w:rsidP="004547ED">
      <w:pPr>
        <w:pStyle w:val="ParagraphText"/>
      </w:pPr>
      <w:r>
        <w:t>“</w:t>
      </w:r>
      <w:r w:rsidR="00CE7631">
        <w:rPr>
          <w:b/>
        </w:rPr>
        <w:t>Project Schedule</w:t>
      </w:r>
      <w:r>
        <w:t xml:space="preserve">” means </w:t>
      </w:r>
      <w:r w:rsidR="00CE7631">
        <w:t>t</w:t>
      </w:r>
      <w:r w:rsidR="00CE7631" w:rsidRPr="00CE7631">
        <w:t>he schedule of key dates, milestones, and other activities for timely completion of the Work, reflecting the project execution plan and anticipated sequence of</w:t>
      </w:r>
      <w:bookmarkStart w:id="2" w:name="_GoBack"/>
      <w:bookmarkEnd w:id="2"/>
      <w:r w:rsidR="00CE7631" w:rsidRPr="00CE7631">
        <w:t xml:space="preserve"> site operations</w:t>
      </w:r>
      <w:r w:rsidRPr="0039784B">
        <w:t>.</w:t>
      </w:r>
    </w:p>
    <w:p w:rsidR="004547ED" w:rsidRDefault="004547ED" w:rsidP="004547ED">
      <w:pPr>
        <w:pStyle w:val="ParagraphText"/>
      </w:pPr>
      <w:r>
        <w:t>“</w:t>
      </w:r>
      <w:r w:rsidR="00CE7631">
        <w:rPr>
          <w:b/>
        </w:rPr>
        <w:t>Project Site</w:t>
      </w:r>
      <w:r>
        <w:t xml:space="preserve">” </w:t>
      </w:r>
      <w:r w:rsidR="00CE7631">
        <w:t>or “</w:t>
      </w:r>
      <w:r w:rsidR="00CE7631" w:rsidRPr="00CE7631">
        <w:rPr>
          <w:b/>
        </w:rPr>
        <w:t>Site</w:t>
      </w:r>
      <w:r w:rsidR="00CE7631">
        <w:t xml:space="preserve">” </w:t>
      </w:r>
      <w:r>
        <w:t xml:space="preserve">means </w:t>
      </w:r>
      <w:r w:rsidR="00CE7631">
        <w:t>the location, or proposed location, of the Project</w:t>
      </w:r>
      <w:r w:rsidRPr="0039784B">
        <w:t>.</w:t>
      </w:r>
    </w:p>
    <w:p w:rsidR="004547ED" w:rsidRDefault="004547ED" w:rsidP="004547ED">
      <w:pPr>
        <w:pStyle w:val="ParagraphText"/>
      </w:pPr>
      <w:r>
        <w:t>“</w:t>
      </w:r>
      <w:r w:rsidR="00CE7631">
        <w:rPr>
          <w:b/>
        </w:rPr>
        <w:t>Project Substation</w:t>
      </w:r>
      <w:r>
        <w:t xml:space="preserve">” means </w:t>
      </w:r>
      <w:r w:rsidR="00CE7631" w:rsidRPr="00383071">
        <w:t>the 34.5/[</w:t>
      </w:r>
      <w:r w:rsidR="00383071" w:rsidRPr="00383071">
        <w:t>TBD</w:t>
      </w:r>
      <w:r w:rsidR="00CE7631" w:rsidRPr="00383071">
        <w:t>]-kV substation</w:t>
      </w:r>
      <w:r w:rsidR="00CE7631" w:rsidRPr="00CE7631">
        <w:t xml:space="preserve"> to be located at the Project Site, with all necessary equipment to connect the Project to the interconnecting utility’s grid</w:t>
      </w:r>
      <w:r w:rsidR="00CE7631">
        <w:t>.</w:t>
      </w:r>
      <w:r w:rsidR="00383071">
        <w:t xml:space="preserve">  “TBD” is a Project-specific voltage to be specified in the Proposal, but generally expected to be 115 kV or greater.</w:t>
      </w:r>
    </w:p>
    <w:p w:rsidR="00CE7631" w:rsidRDefault="00CE7631" w:rsidP="00CE7631">
      <w:pPr>
        <w:pStyle w:val="ParagraphText"/>
      </w:pPr>
      <w:r>
        <w:t>“</w:t>
      </w:r>
      <w:r>
        <w:rPr>
          <w:b/>
        </w:rPr>
        <w:t>Proposal</w:t>
      </w:r>
      <w:r>
        <w:t>” means the</w:t>
      </w:r>
      <w:r w:rsidRPr="00CE7631">
        <w:t xml:space="preserve"> formal offer of Contractor together with all information submitted that pertains to this RFP.</w:t>
      </w:r>
    </w:p>
    <w:p w:rsidR="00CE7631" w:rsidRDefault="00CE7631" w:rsidP="003504FF">
      <w:pPr>
        <w:pStyle w:val="ParagraphText"/>
      </w:pPr>
      <w:r>
        <w:t>“</w:t>
      </w:r>
      <w:r>
        <w:rPr>
          <w:b/>
        </w:rPr>
        <w:t>Prudent Wind Industry Practices</w:t>
      </w:r>
      <w:r>
        <w:t>” means</w:t>
      </w:r>
      <w:r w:rsidR="003504FF" w:rsidRPr="003504FF">
        <w:t xml:space="preserve"> </w:t>
      </w:r>
      <w:r w:rsidR="003504FF">
        <w:t>(a) those practices, methods, equipment, specifications and standards of safety, performance, dependability, efficiency and economy as are acceptable for construction and professional engineering firms performing design, engineering, procurement and construction services in North America on facilities of the type and size similar to the Project, which in the exercise of reasonable judgment and in the light of the facts known at the time the decision was made, are considered good, safe and prudent practice in connection with the design, construction and use of electrical and other equipment, facilities and improvements, with commensurate standards of safety, performance, dependability, efficiency and economy, are in accordance with generally accepted national standards of professional care, skill, diligence and competence applicable to design, engineering, construction and project management practices, and are consistent with Applicable Laws; and (b) those practices, methods, standards and acts that at a particular time in the exercise of reasonable judgment would have been acceptable to those engaged in, or approved by a significant portion of, the wind power industry for similar facilities in similar geographic areas as a reasonable effort to accomplish the desired result in a manner consistent with Applicable Laws, Applicable Standards, safety, environmental protection, economy and expedition.</w:t>
      </w:r>
    </w:p>
    <w:p w:rsidR="003E095B" w:rsidRDefault="003E095B" w:rsidP="003E095B">
      <w:pPr>
        <w:pStyle w:val="ParagraphText"/>
      </w:pPr>
      <w:r>
        <w:t>“</w:t>
      </w:r>
      <w:r>
        <w:rPr>
          <w:b/>
        </w:rPr>
        <w:t>Quality Plan</w:t>
      </w:r>
      <w:r>
        <w:t xml:space="preserve">” means </w:t>
      </w:r>
      <w:r w:rsidR="00383071">
        <w:t xml:space="preserve">quality assurance and quality control plan to be prepared by Contractor in compliance with the requirements in </w:t>
      </w:r>
      <w:r w:rsidR="00CA5765">
        <w:t>the Work Specifications</w:t>
      </w:r>
      <w:r w:rsidRPr="0039784B">
        <w:t>.</w:t>
      </w:r>
    </w:p>
    <w:p w:rsidR="00CE7631" w:rsidRDefault="00CE7631" w:rsidP="00CE7631">
      <w:pPr>
        <w:pStyle w:val="ParagraphText"/>
      </w:pPr>
      <w:r>
        <w:t>“</w:t>
      </w:r>
      <w:r>
        <w:rPr>
          <w:b/>
        </w:rPr>
        <w:t>Requirements</w:t>
      </w:r>
      <w:r>
        <w:t>” means t</w:t>
      </w:r>
      <w:r w:rsidRPr="00BC2B36">
        <w:t xml:space="preserve">he Work Specifications, </w:t>
      </w:r>
      <w:r>
        <w:t>Prudent Wind Industry Practices</w:t>
      </w:r>
      <w:r w:rsidRPr="00BC2B36">
        <w:t>,</w:t>
      </w:r>
      <w:r>
        <w:t xml:space="preserve"> </w:t>
      </w:r>
      <w:r w:rsidR="00383071">
        <w:t xml:space="preserve">applicable laws, </w:t>
      </w:r>
      <w:r w:rsidR="006E7ACD">
        <w:t>a</w:t>
      </w:r>
      <w:r w:rsidRPr="00BC2B36">
        <w:t xml:space="preserve">pplicable </w:t>
      </w:r>
      <w:r w:rsidR="006E7ACD">
        <w:t>p</w:t>
      </w:r>
      <w:r w:rsidRPr="00BC2B36">
        <w:t xml:space="preserve">ermits, </w:t>
      </w:r>
      <w:r>
        <w:t>A</w:t>
      </w:r>
      <w:r w:rsidRPr="00BC2B36">
        <w:t xml:space="preserve">pplicable </w:t>
      </w:r>
      <w:r>
        <w:t>S</w:t>
      </w:r>
      <w:r w:rsidRPr="00BC2B36">
        <w:t xml:space="preserve">tandards, </w:t>
      </w:r>
      <w:r>
        <w:t>the Project S</w:t>
      </w:r>
      <w:r w:rsidRPr="00BC2B36">
        <w:t xml:space="preserve">chedule, </w:t>
      </w:r>
      <w:r w:rsidR="00D153D3">
        <w:t xml:space="preserve">the Project’s interconnection Agreement, </w:t>
      </w:r>
      <w:r w:rsidR="00383071">
        <w:t>the</w:t>
      </w:r>
      <w:r w:rsidR="00D153D3">
        <w:t xml:space="preserve"> Project</w:t>
      </w:r>
      <w:r w:rsidR="00383071">
        <w:t xml:space="preserve"> design documents</w:t>
      </w:r>
      <w:r>
        <w:t>, and the other requirements of the Agreement</w:t>
      </w:r>
      <w:r w:rsidRPr="00BC2B36">
        <w:t>.</w:t>
      </w:r>
    </w:p>
    <w:p w:rsidR="00CE7631" w:rsidRDefault="00CE7631" w:rsidP="00CE7631">
      <w:pPr>
        <w:pStyle w:val="ParagraphText"/>
      </w:pPr>
      <w:r>
        <w:t>“</w:t>
      </w:r>
      <w:r>
        <w:rPr>
          <w:b/>
        </w:rPr>
        <w:t>RFP</w:t>
      </w:r>
      <w:r>
        <w:t>” means request for proposals</w:t>
      </w:r>
      <w:r w:rsidRPr="0039784B">
        <w:t>.</w:t>
      </w:r>
    </w:p>
    <w:p w:rsidR="00383071" w:rsidRDefault="00383071" w:rsidP="00383071">
      <w:pPr>
        <w:pStyle w:val="ParagraphText"/>
      </w:pPr>
      <w:r>
        <w:t>“</w:t>
      </w:r>
      <w:r>
        <w:rPr>
          <w:b/>
        </w:rPr>
        <w:t>Safety Plan</w:t>
      </w:r>
      <w:r>
        <w:t xml:space="preserve">” means safety plan to be prepared by Contractor in compliance with the requirements in </w:t>
      </w:r>
      <w:r w:rsidR="00CA5765">
        <w:t>the Work Specifications</w:t>
      </w:r>
      <w:r w:rsidRPr="0039784B">
        <w:t>.</w:t>
      </w:r>
    </w:p>
    <w:p w:rsidR="00CE7631" w:rsidRDefault="00CE7631" w:rsidP="00383071">
      <w:pPr>
        <w:pStyle w:val="ParagraphText"/>
      </w:pPr>
      <w:r>
        <w:t>“</w:t>
      </w:r>
      <w:r>
        <w:rPr>
          <w:b/>
        </w:rPr>
        <w:t>SCADA</w:t>
      </w:r>
      <w:r>
        <w:t>” means supervisory control and data acquisition</w:t>
      </w:r>
      <w:r w:rsidRPr="0039784B">
        <w:t>.</w:t>
      </w:r>
    </w:p>
    <w:p w:rsidR="00383071" w:rsidRDefault="00383071" w:rsidP="00383071">
      <w:pPr>
        <w:pStyle w:val="ParagraphText"/>
      </w:pPr>
      <w:r>
        <w:t>“</w:t>
      </w:r>
      <w:r>
        <w:rPr>
          <w:b/>
        </w:rPr>
        <w:t>Security Plan</w:t>
      </w:r>
      <w:r>
        <w:t xml:space="preserve">” means security plan to be prepared by Contractor in compliance with the requirements in </w:t>
      </w:r>
      <w:r w:rsidR="00CA5765">
        <w:t>the Work Specifications</w:t>
      </w:r>
      <w:r w:rsidRPr="0039784B">
        <w:t>.</w:t>
      </w:r>
    </w:p>
    <w:p w:rsidR="0050436B" w:rsidRDefault="0050436B" w:rsidP="0050436B">
      <w:pPr>
        <w:pStyle w:val="ParagraphText"/>
      </w:pPr>
      <w:r>
        <w:lastRenderedPageBreak/>
        <w:t>“</w:t>
      </w:r>
      <w:r>
        <w:rPr>
          <w:b/>
        </w:rPr>
        <w:t>Turbine Supplier</w:t>
      </w:r>
      <w:r>
        <w:t xml:space="preserve">” means </w:t>
      </w:r>
      <w:r w:rsidR="00383071">
        <w:t>a Project-specific Wind Turbine supplier to be specified in the Proposal.</w:t>
      </w:r>
    </w:p>
    <w:p w:rsidR="00CE7631" w:rsidRDefault="00CE7631" w:rsidP="00CE7631">
      <w:pPr>
        <w:pStyle w:val="ParagraphText"/>
      </w:pPr>
      <w:r>
        <w:t>“</w:t>
      </w:r>
      <w:r>
        <w:rPr>
          <w:b/>
        </w:rPr>
        <w:t>Wind Turbine</w:t>
      </w:r>
      <w:r>
        <w:t>” means e</w:t>
      </w:r>
      <w:r w:rsidRPr="00CE7631">
        <w:t>ach of the complete, fully-functional wind turbine generators to be part of the Project.</w:t>
      </w:r>
    </w:p>
    <w:p w:rsidR="0050436B" w:rsidRDefault="0050436B" w:rsidP="0050436B">
      <w:pPr>
        <w:pStyle w:val="ParagraphText"/>
      </w:pPr>
      <w:r>
        <w:t>“</w:t>
      </w:r>
      <w:r>
        <w:rPr>
          <w:b/>
        </w:rPr>
        <w:t>Wind Turbine Pad</w:t>
      </w:r>
      <w:r>
        <w:t xml:space="preserve">” means </w:t>
      </w:r>
      <w:r w:rsidRPr="0050436B">
        <w:t>both the crane pads and hardstands, where (i) “</w:t>
      </w:r>
      <w:r w:rsidRPr="0050436B">
        <w:rPr>
          <w:b/>
        </w:rPr>
        <w:t>crane pads</w:t>
      </w:r>
      <w:r w:rsidRPr="0050436B">
        <w:t>” refer to a hardstand area in connection with the erection or service of a Wind Turbine and (ii) “</w:t>
      </w:r>
      <w:r w:rsidRPr="0050436B">
        <w:rPr>
          <w:b/>
        </w:rPr>
        <w:t>hardstands</w:t>
      </w:r>
      <w:r w:rsidRPr="0050436B">
        <w:t>” refer to any area where Wind Turbine components, Wind Turbine equipment, transport equipment, or storage equipment are stored, placed, or parked, and including parking areas, laydown areas, and other such working areas.</w:t>
      </w:r>
    </w:p>
    <w:p w:rsidR="0050436B" w:rsidRDefault="0050436B" w:rsidP="0050436B">
      <w:pPr>
        <w:pStyle w:val="ParagraphText"/>
      </w:pPr>
      <w:r>
        <w:t>“</w:t>
      </w:r>
      <w:r>
        <w:rPr>
          <w:b/>
        </w:rPr>
        <w:t>Work</w:t>
      </w:r>
      <w:r>
        <w:t>” means all</w:t>
      </w:r>
      <w:r w:rsidRPr="0050436B">
        <w:t xml:space="preserve"> actions, capital, contracts, labor, equipment, and materials necessary to construct the proposed Project and furnish wind energy and environmental attributes (including operating the Project) to Owner at the specified delivery point.</w:t>
      </w:r>
    </w:p>
    <w:p w:rsidR="0050436B" w:rsidRDefault="0050436B" w:rsidP="0050436B">
      <w:pPr>
        <w:pStyle w:val="ParagraphText"/>
      </w:pPr>
      <w:r>
        <w:t>“</w:t>
      </w:r>
      <w:r>
        <w:rPr>
          <w:b/>
        </w:rPr>
        <w:t>Work Specifications</w:t>
      </w:r>
      <w:r>
        <w:t>” means the</w:t>
      </w:r>
      <w:r w:rsidRPr="00BC2B36">
        <w:t xml:space="preserve"> minimum performance specifications, quality standards, and other criteria required for the performance of the Work by Contractor, each as described in more detail in </w:t>
      </w:r>
      <w:r w:rsidR="00FE75B6" w:rsidRPr="008478E3">
        <w:rPr>
          <w:u w:val="single"/>
        </w:rPr>
        <w:t>RFP A</w:t>
      </w:r>
      <w:r w:rsidR="00FE75B6">
        <w:rPr>
          <w:u w:val="single"/>
        </w:rPr>
        <w:t>ppendix A.3 (Wind)</w:t>
      </w:r>
      <w:r w:rsidR="00FE75B6" w:rsidRPr="0039784B">
        <w:t xml:space="preserve"> (</w:t>
      </w:r>
      <w:r w:rsidR="00FE75B6">
        <w:rPr>
          <w:i/>
        </w:rPr>
        <w:t>Work Specifications</w:t>
      </w:r>
      <w:r w:rsidR="00FE75B6" w:rsidRPr="0039784B">
        <w:t>)</w:t>
      </w:r>
      <w:r>
        <w:t>.</w:t>
      </w:r>
    </w:p>
    <w:sectPr w:rsidR="005043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B3" w:rsidRDefault="00EF10B3" w:rsidP="00C77A3C">
      <w:pPr>
        <w:spacing w:after="0" w:line="240" w:lineRule="auto"/>
      </w:pPr>
      <w:r>
        <w:separator/>
      </w:r>
    </w:p>
  </w:endnote>
  <w:endnote w:type="continuationSeparator" w:id="0">
    <w:p w:rsidR="00EF10B3" w:rsidRDefault="00EF10B3" w:rsidP="00C7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3C" w:rsidRDefault="00C77A3C" w:rsidP="00C77A3C">
    <w:pPr>
      <w:pStyle w:val="Footer"/>
    </w:pPr>
    <w:r>
      <w:t xml:space="preserve">Page </w:t>
    </w:r>
    <w:r>
      <w:fldChar w:fldCharType="begin"/>
    </w:r>
    <w:r>
      <w:instrText xml:space="preserve"> PAGE  \* Arabic  \* MERGEFORMAT </w:instrText>
    </w:r>
    <w:r>
      <w:fldChar w:fldCharType="separate"/>
    </w:r>
    <w:r w:rsidR="006D1E00">
      <w:rPr>
        <w:noProof/>
      </w:rPr>
      <w:t>3</w:t>
    </w:r>
    <w:r>
      <w:fldChar w:fldCharType="end"/>
    </w:r>
    <w:r>
      <w:t xml:space="preserve"> of </w:t>
    </w:r>
    <w:fldSimple w:instr=" NUMPAGES  \* Arabic  \* MERGEFORMAT ">
      <w:r w:rsidR="006D1E0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B3" w:rsidRDefault="00EF10B3" w:rsidP="00C77A3C">
      <w:pPr>
        <w:spacing w:after="0" w:line="240" w:lineRule="auto"/>
      </w:pPr>
      <w:r>
        <w:separator/>
      </w:r>
    </w:p>
  </w:footnote>
  <w:footnote w:type="continuationSeparator" w:id="0">
    <w:p w:rsidR="00EF10B3" w:rsidRDefault="00EF10B3" w:rsidP="00C7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DD" w:rsidRDefault="00A72E81" w:rsidP="00313FDD">
    <w:pPr>
      <w:pStyle w:val="Header"/>
    </w:pPr>
    <w:r>
      <w:fldChar w:fldCharType="begin"/>
    </w:r>
    <w:r>
      <w:instrText xml:space="preserve"> REF ExhibitNumber \h </w:instrText>
    </w:r>
    <w:r>
      <w:fldChar w:fldCharType="separate"/>
    </w:r>
    <w:r w:rsidR="00E3623B">
      <w:t xml:space="preserve">RFP Appendix </w:t>
    </w:r>
    <w:r w:rsidR="00E3623B" w:rsidRPr="001841FD">
      <w:t>A.2 (Wind)</w:t>
    </w:r>
    <w:r>
      <w:fldChar w:fldCharType="end"/>
    </w:r>
    <w:r w:rsidR="00C77A3C" w:rsidRPr="00C77A3C">
      <w:t xml:space="preserve"> - </w:t>
    </w:r>
    <w:r>
      <w:fldChar w:fldCharType="begin"/>
    </w:r>
    <w:r>
      <w:instrText xml:space="preserve"> REF ExhibitName \h </w:instrText>
    </w:r>
    <w:r>
      <w:fldChar w:fldCharType="separate"/>
    </w:r>
    <w:r w:rsidR="00E3623B">
      <w:t>Definitions (PPA or BTA)</w:t>
    </w:r>
    <w:r>
      <w:fldChar w:fldCharType="end"/>
    </w:r>
    <w:r w:rsidR="00313FDD" w:rsidRPr="00313FDD">
      <w:t xml:space="preserve"> </w:t>
    </w:r>
  </w:p>
  <w:p w:rsidR="00C77A3C" w:rsidRPr="00C77A3C" w:rsidRDefault="00313FDD" w:rsidP="00313FDD">
    <w:pPr>
      <w:pStyle w:val="Header"/>
    </w:pPr>
    <w:r>
      <w:t xml:space="preserve"> (</w:t>
    </w:r>
    <w:proofErr w:type="gramStart"/>
    <w:r w:rsidR="00E3623B">
      <w:t>rev</w:t>
    </w:r>
    <w:proofErr w:type="gramEnd"/>
    <w:r w:rsidR="00E3623B">
      <w:t xml:space="preserve">. A, </w:t>
    </w:r>
    <w:r w:rsidR="00E3623B" w:rsidRPr="002D49AE">
      <w:t>2017061</w:t>
    </w:r>
    <w:r w:rsidR="00CE4443" w:rsidRPr="002D49AE">
      <w:t>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F03FAC"/>
    <w:lvl w:ilvl="0">
      <w:start w:val="1"/>
      <w:numFmt w:val="decimal"/>
      <w:lvlText w:val="%1."/>
      <w:lvlJc w:val="left"/>
      <w:pPr>
        <w:tabs>
          <w:tab w:val="num" w:pos="1800"/>
        </w:tabs>
        <w:ind w:left="1800" w:hanging="360"/>
      </w:pPr>
    </w:lvl>
  </w:abstractNum>
  <w:abstractNum w:abstractNumId="1">
    <w:nsid w:val="FFFFFF7D"/>
    <w:multiLevelType w:val="singleLevel"/>
    <w:tmpl w:val="C62CFC90"/>
    <w:lvl w:ilvl="0">
      <w:start w:val="1"/>
      <w:numFmt w:val="decimal"/>
      <w:lvlText w:val="%1."/>
      <w:lvlJc w:val="left"/>
      <w:pPr>
        <w:tabs>
          <w:tab w:val="num" w:pos="1440"/>
        </w:tabs>
        <w:ind w:left="1440" w:hanging="360"/>
      </w:pPr>
    </w:lvl>
  </w:abstractNum>
  <w:abstractNum w:abstractNumId="2">
    <w:nsid w:val="FFFFFF7E"/>
    <w:multiLevelType w:val="singleLevel"/>
    <w:tmpl w:val="7500FC88"/>
    <w:lvl w:ilvl="0">
      <w:start w:val="1"/>
      <w:numFmt w:val="decimal"/>
      <w:lvlText w:val="%1."/>
      <w:lvlJc w:val="left"/>
      <w:pPr>
        <w:tabs>
          <w:tab w:val="num" w:pos="1080"/>
        </w:tabs>
        <w:ind w:left="1080" w:hanging="360"/>
      </w:pPr>
    </w:lvl>
  </w:abstractNum>
  <w:abstractNum w:abstractNumId="3">
    <w:nsid w:val="FFFFFF7F"/>
    <w:multiLevelType w:val="singleLevel"/>
    <w:tmpl w:val="C0E24850"/>
    <w:lvl w:ilvl="0">
      <w:start w:val="1"/>
      <w:numFmt w:val="decimal"/>
      <w:lvlText w:val="%1."/>
      <w:lvlJc w:val="left"/>
      <w:pPr>
        <w:tabs>
          <w:tab w:val="num" w:pos="720"/>
        </w:tabs>
        <w:ind w:left="720" w:hanging="360"/>
      </w:pPr>
    </w:lvl>
  </w:abstractNum>
  <w:abstractNum w:abstractNumId="4">
    <w:nsid w:val="FFFFFF80"/>
    <w:multiLevelType w:val="singleLevel"/>
    <w:tmpl w:val="D24A0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2834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826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B8F8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52FD36"/>
    <w:lvl w:ilvl="0">
      <w:start w:val="1"/>
      <w:numFmt w:val="decimal"/>
      <w:lvlText w:val="%1."/>
      <w:lvlJc w:val="left"/>
      <w:pPr>
        <w:tabs>
          <w:tab w:val="num" w:pos="360"/>
        </w:tabs>
        <w:ind w:left="360" w:hanging="360"/>
      </w:pPr>
    </w:lvl>
  </w:abstractNum>
  <w:abstractNum w:abstractNumId="9">
    <w:nsid w:val="FFFFFF89"/>
    <w:multiLevelType w:val="singleLevel"/>
    <w:tmpl w:val="3C422D68"/>
    <w:lvl w:ilvl="0">
      <w:start w:val="1"/>
      <w:numFmt w:val="bullet"/>
      <w:lvlText w:val=""/>
      <w:lvlJc w:val="left"/>
      <w:pPr>
        <w:tabs>
          <w:tab w:val="num" w:pos="360"/>
        </w:tabs>
        <w:ind w:left="360" w:hanging="360"/>
      </w:pPr>
      <w:rPr>
        <w:rFonts w:ascii="Symbol" w:hAnsi="Symbol" w:hint="default"/>
      </w:rPr>
    </w:lvl>
  </w:abstractNum>
  <w:abstractNum w:abstractNumId="10">
    <w:nsid w:val="489F32FC"/>
    <w:multiLevelType w:val="multilevel"/>
    <w:tmpl w:val="864C9FDE"/>
    <w:lvl w:ilvl="0">
      <w:start w:val="1"/>
      <w:numFmt w:val="decimal"/>
      <w:pStyle w:val="Heading1"/>
      <w:lvlText w:val="%1.0"/>
      <w:lvlJc w:val="left"/>
      <w:pPr>
        <w:ind w:left="720" w:hanging="720"/>
      </w:pPr>
      <w:rPr>
        <w:rFonts w:ascii="Times New Roman Bold" w:hAnsi="Times New Roman Bold" w:hint="default"/>
        <w:b/>
        <w:i w:val="0"/>
        <w:strike w:val="0"/>
        <w:dstrike w:val="0"/>
        <w:vanish w:val="0"/>
        <w:sz w:val="22"/>
        <w:vertAlign w:val="baseline"/>
      </w:rPr>
    </w:lvl>
    <w:lvl w:ilvl="1">
      <w:start w:val="1"/>
      <w:numFmt w:val="decimal"/>
      <w:pStyle w:val="Heading2"/>
      <w:lvlText w:val="%1.%2"/>
      <w:lvlJc w:val="left"/>
      <w:pPr>
        <w:ind w:left="720" w:hanging="720"/>
      </w:pPr>
      <w:rPr>
        <w:rFonts w:ascii="Times New Roman Bold" w:hAnsi="Times New Roman Bold" w:hint="default"/>
        <w:b/>
        <w:i w:val="0"/>
        <w:caps/>
        <w:strike w:val="0"/>
        <w:dstrike w:val="0"/>
        <w:vanish w:val="0"/>
        <w:color w:val="auto"/>
        <w:sz w:val="22"/>
        <w:u w:val="none"/>
        <w:vertAlign w:val="base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sz w:val="22"/>
        <w:vertAlign w:val="baseline"/>
      </w:rPr>
    </w:lvl>
    <w:lvl w:ilvl="3">
      <w:start w:val="1"/>
      <w:numFmt w:val="decimal"/>
      <w:pStyle w:val="Heading4"/>
      <w:lvlText w:val="(%4)"/>
      <w:lvlJc w:val="left"/>
      <w:pPr>
        <w:ind w:left="1440" w:hanging="720"/>
      </w:pPr>
      <w:rPr>
        <w:rFonts w:ascii="Times New Roman" w:hAnsi="Times New Roman" w:hint="default"/>
        <w:b w:val="0"/>
        <w:i w:val="0"/>
        <w:caps w:val="0"/>
        <w:strike w:val="0"/>
        <w:dstrike w:val="0"/>
        <w:vanish w:val="0"/>
        <w:color w:val="auto"/>
        <w:sz w:val="22"/>
        <w:u w:val="none"/>
        <w:vertAlign w:val="baseline"/>
      </w:rPr>
    </w:lvl>
    <w:lvl w:ilvl="4">
      <w:start w:val="1"/>
      <w:numFmt w:val="lowerLetter"/>
      <w:pStyle w:val="Heading5"/>
      <w:lvlText w:val="(%5)"/>
      <w:lvlJc w:val="left"/>
      <w:pPr>
        <w:ind w:left="2160" w:hanging="720"/>
      </w:pPr>
      <w:rPr>
        <w:rFonts w:ascii="Times New Roman" w:hAnsi="Times New Roman" w:hint="default"/>
        <w:b w:val="0"/>
        <w:i w:val="0"/>
        <w:caps w:val="0"/>
        <w:strike w:val="0"/>
        <w:dstrike w:val="0"/>
        <w:vanish w:val="0"/>
        <w:sz w:val="22"/>
        <w:vertAlign w:val="baseline"/>
      </w:rPr>
    </w:lvl>
    <w:lvl w:ilvl="5">
      <w:start w:val="1"/>
      <w:numFmt w:val="decimal"/>
      <w:pStyle w:val="Heading6"/>
      <w:lvlText w:val="%6."/>
      <w:lvlJc w:val="left"/>
      <w:pPr>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C4"/>
    <w:rsid w:val="00022D73"/>
    <w:rsid w:val="00047983"/>
    <w:rsid w:val="00064D52"/>
    <w:rsid w:val="000B423D"/>
    <w:rsid w:val="000C73A1"/>
    <w:rsid w:val="000E11FD"/>
    <w:rsid w:val="000E2EE4"/>
    <w:rsid w:val="00100D4F"/>
    <w:rsid w:val="00100F2A"/>
    <w:rsid w:val="00133C52"/>
    <w:rsid w:val="001404A5"/>
    <w:rsid w:val="0014160F"/>
    <w:rsid w:val="001722AF"/>
    <w:rsid w:val="001841FD"/>
    <w:rsid w:val="001B6271"/>
    <w:rsid w:val="001D2624"/>
    <w:rsid w:val="001F7A41"/>
    <w:rsid w:val="00200925"/>
    <w:rsid w:val="00255525"/>
    <w:rsid w:val="002603B1"/>
    <w:rsid w:val="002643F8"/>
    <w:rsid w:val="0028437E"/>
    <w:rsid w:val="00297239"/>
    <w:rsid w:val="002D49AE"/>
    <w:rsid w:val="002E722C"/>
    <w:rsid w:val="00313FDD"/>
    <w:rsid w:val="003504FF"/>
    <w:rsid w:val="00360F1F"/>
    <w:rsid w:val="003821A3"/>
    <w:rsid w:val="00383071"/>
    <w:rsid w:val="0039784B"/>
    <w:rsid w:val="003E095B"/>
    <w:rsid w:val="00434866"/>
    <w:rsid w:val="00436F11"/>
    <w:rsid w:val="00447105"/>
    <w:rsid w:val="004547ED"/>
    <w:rsid w:val="0045537C"/>
    <w:rsid w:val="004E3037"/>
    <w:rsid w:val="004E3D8D"/>
    <w:rsid w:val="004F51B9"/>
    <w:rsid w:val="0050436B"/>
    <w:rsid w:val="005146BF"/>
    <w:rsid w:val="0058324A"/>
    <w:rsid w:val="005C32ED"/>
    <w:rsid w:val="005F7E03"/>
    <w:rsid w:val="0063306C"/>
    <w:rsid w:val="006D1E00"/>
    <w:rsid w:val="006E7ACD"/>
    <w:rsid w:val="006F357C"/>
    <w:rsid w:val="0070193A"/>
    <w:rsid w:val="0071785B"/>
    <w:rsid w:val="007208C4"/>
    <w:rsid w:val="007219CE"/>
    <w:rsid w:val="00730F0D"/>
    <w:rsid w:val="00741A7D"/>
    <w:rsid w:val="0079736B"/>
    <w:rsid w:val="007A7FB0"/>
    <w:rsid w:val="007B7D33"/>
    <w:rsid w:val="007E5372"/>
    <w:rsid w:val="008125DF"/>
    <w:rsid w:val="008478E3"/>
    <w:rsid w:val="00853BBA"/>
    <w:rsid w:val="00893EBA"/>
    <w:rsid w:val="008950B6"/>
    <w:rsid w:val="008C0A94"/>
    <w:rsid w:val="008E0A7A"/>
    <w:rsid w:val="008F538C"/>
    <w:rsid w:val="009102E1"/>
    <w:rsid w:val="0094122B"/>
    <w:rsid w:val="00955FC8"/>
    <w:rsid w:val="00961D0B"/>
    <w:rsid w:val="00962A7F"/>
    <w:rsid w:val="00970AAE"/>
    <w:rsid w:val="00983DBB"/>
    <w:rsid w:val="009E3047"/>
    <w:rsid w:val="00A25B8D"/>
    <w:rsid w:val="00A50C58"/>
    <w:rsid w:val="00A55595"/>
    <w:rsid w:val="00A56FF0"/>
    <w:rsid w:val="00A72E81"/>
    <w:rsid w:val="00A74B1F"/>
    <w:rsid w:val="00A9050C"/>
    <w:rsid w:val="00AD1AF1"/>
    <w:rsid w:val="00AE1635"/>
    <w:rsid w:val="00B12B14"/>
    <w:rsid w:val="00B41055"/>
    <w:rsid w:val="00B66D07"/>
    <w:rsid w:val="00BF0258"/>
    <w:rsid w:val="00C271C8"/>
    <w:rsid w:val="00C42B48"/>
    <w:rsid w:val="00C44F96"/>
    <w:rsid w:val="00C77A3C"/>
    <w:rsid w:val="00C91AB0"/>
    <w:rsid w:val="00C925CB"/>
    <w:rsid w:val="00CA5765"/>
    <w:rsid w:val="00CC2206"/>
    <w:rsid w:val="00CE4443"/>
    <w:rsid w:val="00CE7631"/>
    <w:rsid w:val="00CF6A5C"/>
    <w:rsid w:val="00D139D3"/>
    <w:rsid w:val="00D153D3"/>
    <w:rsid w:val="00D46B4A"/>
    <w:rsid w:val="00D57CAA"/>
    <w:rsid w:val="00D8360C"/>
    <w:rsid w:val="00DB375B"/>
    <w:rsid w:val="00DC2857"/>
    <w:rsid w:val="00DE1ED0"/>
    <w:rsid w:val="00E3623B"/>
    <w:rsid w:val="00E56643"/>
    <w:rsid w:val="00E90592"/>
    <w:rsid w:val="00EA01D3"/>
    <w:rsid w:val="00EA097D"/>
    <w:rsid w:val="00EC40CF"/>
    <w:rsid w:val="00EE5D59"/>
    <w:rsid w:val="00EF10B3"/>
    <w:rsid w:val="00F2101D"/>
    <w:rsid w:val="00F86DE8"/>
    <w:rsid w:val="00FB120D"/>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FC84E-715F-41D4-A2DB-4AA4E34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D3"/>
  </w:style>
  <w:style w:type="paragraph" w:styleId="Heading1">
    <w:name w:val="heading 1"/>
    <w:next w:val="Heading2"/>
    <w:link w:val="Heading1Char"/>
    <w:qFormat/>
    <w:rsid w:val="00C77A3C"/>
    <w:pPr>
      <w:keepNext/>
      <w:widowControl w:val="0"/>
      <w:numPr>
        <w:numId w:val="11"/>
      </w:numPr>
      <w:spacing w:after="240" w:line="240" w:lineRule="auto"/>
      <w:outlineLvl w:val="0"/>
    </w:pPr>
    <w:rPr>
      <w:rFonts w:ascii="Times New Roman Bold" w:eastAsiaTheme="majorEastAsia" w:hAnsi="Times New Roman Bold" w:cstheme="majorBidi"/>
      <w:b/>
      <w:bCs/>
      <w:caps/>
      <w:szCs w:val="28"/>
    </w:rPr>
  </w:style>
  <w:style w:type="paragraph" w:styleId="Heading2">
    <w:name w:val="heading 2"/>
    <w:next w:val="Heading3"/>
    <w:link w:val="Heading2Char"/>
    <w:uiPriority w:val="9"/>
    <w:unhideWhenUsed/>
    <w:qFormat/>
    <w:rsid w:val="00C77A3C"/>
    <w:pPr>
      <w:keepNext/>
      <w:widowControl w:val="0"/>
      <w:numPr>
        <w:ilvl w:val="1"/>
        <w:numId w:val="11"/>
      </w:numPr>
      <w:spacing w:after="240" w:line="240" w:lineRule="auto"/>
      <w:outlineLvl w:val="1"/>
    </w:pPr>
    <w:rPr>
      <w:rFonts w:ascii="Times New Roman Bold" w:eastAsiaTheme="majorEastAsia" w:hAnsi="Times New Roman Bold" w:cstheme="majorBidi"/>
      <w:b/>
      <w:bCs/>
      <w:szCs w:val="26"/>
    </w:rPr>
  </w:style>
  <w:style w:type="paragraph" w:styleId="Heading3">
    <w:name w:val="heading 3"/>
    <w:link w:val="Heading3Char"/>
    <w:uiPriority w:val="9"/>
    <w:unhideWhenUsed/>
    <w:qFormat/>
    <w:rsid w:val="00C77A3C"/>
    <w:pPr>
      <w:keepLines/>
      <w:widowControl w:val="0"/>
      <w:numPr>
        <w:ilvl w:val="2"/>
        <w:numId w:val="11"/>
      </w:numPr>
      <w:spacing w:after="240" w:line="240" w:lineRule="auto"/>
      <w:jc w:val="both"/>
      <w:outlineLvl w:val="2"/>
    </w:pPr>
    <w:rPr>
      <w:rFonts w:ascii="Times New Roman" w:hAnsi="Times New Roman" w:cs="Times New Roman"/>
      <w:szCs w:val="20"/>
    </w:rPr>
  </w:style>
  <w:style w:type="paragraph" w:styleId="Heading4">
    <w:name w:val="heading 4"/>
    <w:link w:val="Heading4Char"/>
    <w:uiPriority w:val="9"/>
    <w:unhideWhenUsed/>
    <w:qFormat/>
    <w:rsid w:val="00C77A3C"/>
    <w:pPr>
      <w:keepLines/>
      <w:widowControl w:val="0"/>
      <w:numPr>
        <w:ilvl w:val="3"/>
        <w:numId w:val="11"/>
      </w:numPr>
      <w:spacing w:after="240" w:line="240" w:lineRule="auto"/>
      <w:jc w:val="both"/>
      <w:outlineLvl w:val="3"/>
    </w:pPr>
    <w:rPr>
      <w:rFonts w:ascii="Times New Roman" w:eastAsiaTheme="majorEastAsia" w:hAnsi="Times New Roman" w:cstheme="majorBidi"/>
      <w:bCs/>
      <w:szCs w:val="26"/>
    </w:rPr>
  </w:style>
  <w:style w:type="paragraph" w:styleId="Heading5">
    <w:name w:val="heading 5"/>
    <w:link w:val="Heading5Char"/>
    <w:uiPriority w:val="9"/>
    <w:unhideWhenUsed/>
    <w:qFormat/>
    <w:rsid w:val="00D8360C"/>
    <w:pPr>
      <w:keepLines/>
      <w:numPr>
        <w:ilvl w:val="4"/>
        <w:numId w:val="11"/>
      </w:numPr>
      <w:spacing w:after="240" w:line="240" w:lineRule="auto"/>
      <w:jc w:val="both"/>
      <w:outlineLvl w:val="4"/>
    </w:pPr>
    <w:rPr>
      <w:rFonts w:ascii="Times New Roman" w:eastAsiaTheme="majorEastAsia" w:hAnsi="Times New Roman" w:cstheme="majorBidi"/>
      <w:bCs/>
      <w:szCs w:val="26"/>
    </w:rPr>
  </w:style>
  <w:style w:type="paragraph" w:styleId="Heading6">
    <w:name w:val="heading 6"/>
    <w:link w:val="Heading6Char"/>
    <w:qFormat/>
    <w:rsid w:val="00E56643"/>
    <w:pPr>
      <w:keepLines/>
      <w:numPr>
        <w:ilvl w:val="5"/>
        <w:numId w:val="11"/>
      </w:numPr>
      <w:spacing w:after="220" w:line="240" w:lineRule="auto"/>
      <w:ind w:left="720"/>
      <w:jc w:val="both"/>
      <w:outlineLvl w:val="5"/>
    </w:pPr>
    <w:rPr>
      <w:rFonts w:ascii="Times New Roman" w:eastAsiaTheme="majorEastAsia" w:hAnsi="Times New Roman"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3C"/>
    <w:pPr>
      <w:tabs>
        <w:tab w:val="center" w:pos="4680"/>
        <w:tab w:val="right" w:pos="9360"/>
      </w:tabs>
      <w:spacing w:after="0" w:line="240" w:lineRule="auto"/>
      <w:jc w:val="right"/>
    </w:pPr>
    <w:rPr>
      <w:rFonts w:ascii="Times New Roman" w:hAnsi="Times New Roman"/>
      <w:sz w:val="16"/>
    </w:rPr>
  </w:style>
  <w:style w:type="character" w:customStyle="1" w:styleId="HeaderChar">
    <w:name w:val="Header Char"/>
    <w:basedOn w:val="DefaultParagraphFont"/>
    <w:link w:val="Header"/>
    <w:uiPriority w:val="99"/>
    <w:rsid w:val="00C77A3C"/>
    <w:rPr>
      <w:rFonts w:ascii="Times New Roman" w:hAnsi="Times New Roman"/>
      <w:sz w:val="16"/>
    </w:rPr>
  </w:style>
  <w:style w:type="paragraph" w:styleId="Footer">
    <w:name w:val="footer"/>
    <w:basedOn w:val="Header"/>
    <w:link w:val="FooterChar"/>
    <w:uiPriority w:val="99"/>
    <w:unhideWhenUsed/>
    <w:rsid w:val="00C77A3C"/>
  </w:style>
  <w:style w:type="character" w:customStyle="1" w:styleId="FooterChar">
    <w:name w:val="Footer Char"/>
    <w:basedOn w:val="DefaultParagraphFont"/>
    <w:link w:val="Footer"/>
    <w:uiPriority w:val="99"/>
    <w:rsid w:val="00C77A3C"/>
    <w:rPr>
      <w:rFonts w:ascii="Times New Roman" w:hAnsi="Times New Roman"/>
      <w:sz w:val="16"/>
    </w:rPr>
  </w:style>
  <w:style w:type="paragraph" w:customStyle="1" w:styleId="ExhibitName">
    <w:name w:val="Exhibit Name"/>
    <w:qFormat/>
    <w:rsid w:val="00C77A3C"/>
    <w:pPr>
      <w:spacing w:after="240" w:line="240" w:lineRule="auto"/>
      <w:jc w:val="center"/>
    </w:pPr>
    <w:rPr>
      <w:rFonts w:ascii="Times New Roman Bold" w:hAnsi="Times New Roman Bold"/>
      <w:b/>
      <w:caps/>
      <w:u w:val="single"/>
    </w:rPr>
  </w:style>
  <w:style w:type="paragraph" w:customStyle="1" w:styleId="ExhibitHeading">
    <w:name w:val="Exhibit Heading"/>
    <w:qFormat/>
    <w:rsid w:val="00C77A3C"/>
    <w:pPr>
      <w:spacing w:after="0" w:line="240" w:lineRule="auto"/>
      <w:jc w:val="center"/>
    </w:pPr>
    <w:rPr>
      <w:rFonts w:ascii="Times New Roman Bold" w:hAnsi="Times New Roman Bold"/>
      <w:b/>
      <w:caps/>
    </w:rPr>
  </w:style>
  <w:style w:type="paragraph" w:customStyle="1" w:styleId="ParagraphText">
    <w:name w:val="Paragraph Text"/>
    <w:basedOn w:val="Normal"/>
    <w:qFormat/>
    <w:rsid w:val="00A9050C"/>
    <w:pPr>
      <w:tabs>
        <w:tab w:val="left" w:pos="450"/>
      </w:tabs>
      <w:spacing w:after="24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77A3C"/>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C77A3C"/>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C77A3C"/>
    <w:rPr>
      <w:rFonts w:ascii="Times New Roman" w:hAnsi="Times New Roman" w:cs="Times New Roman"/>
      <w:szCs w:val="20"/>
    </w:rPr>
  </w:style>
  <w:style w:type="character" w:customStyle="1" w:styleId="Heading4Char">
    <w:name w:val="Heading 4 Char"/>
    <w:basedOn w:val="DefaultParagraphFont"/>
    <w:link w:val="Heading4"/>
    <w:uiPriority w:val="9"/>
    <w:rsid w:val="00C77A3C"/>
    <w:rPr>
      <w:rFonts w:ascii="Times New Roman" w:eastAsiaTheme="majorEastAsia" w:hAnsi="Times New Roman" w:cstheme="majorBidi"/>
      <w:bCs/>
      <w:szCs w:val="26"/>
    </w:rPr>
  </w:style>
  <w:style w:type="character" w:customStyle="1" w:styleId="Heading5Char">
    <w:name w:val="Heading 5 Char"/>
    <w:basedOn w:val="DefaultParagraphFont"/>
    <w:link w:val="Heading5"/>
    <w:uiPriority w:val="9"/>
    <w:rsid w:val="00D8360C"/>
    <w:rPr>
      <w:rFonts w:ascii="Times New Roman" w:eastAsiaTheme="majorEastAsia" w:hAnsi="Times New Roman" w:cstheme="majorBidi"/>
      <w:bCs/>
      <w:szCs w:val="26"/>
    </w:rPr>
  </w:style>
  <w:style w:type="character" w:customStyle="1" w:styleId="Heading6Char">
    <w:name w:val="Heading 6 Char"/>
    <w:basedOn w:val="DefaultParagraphFont"/>
    <w:link w:val="Heading6"/>
    <w:rsid w:val="00E56643"/>
    <w:rPr>
      <w:rFonts w:ascii="Times New Roman" w:eastAsiaTheme="majorEastAsia" w:hAnsi="Times New Roman" w:cstheme="majorBidi"/>
      <w:bCs/>
      <w:szCs w:val="26"/>
    </w:rPr>
  </w:style>
  <w:style w:type="paragraph" w:styleId="TOC2">
    <w:name w:val="toc 2"/>
    <w:basedOn w:val="Normal"/>
    <w:next w:val="Normal"/>
    <w:autoRedefine/>
    <w:uiPriority w:val="39"/>
    <w:unhideWhenUsed/>
    <w:rsid w:val="00970AAE"/>
    <w:pPr>
      <w:spacing w:after="0" w:line="240" w:lineRule="auto"/>
    </w:pPr>
    <w:rPr>
      <w:rFonts w:ascii="Times New Roman" w:hAnsi="Times New Roman"/>
    </w:rPr>
  </w:style>
  <w:style w:type="paragraph" w:styleId="TOC1">
    <w:name w:val="toc 1"/>
    <w:basedOn w:val="Normal"/>
    <w:next w:val="Normal"/>
    <w:autoRedefine/>
    <w:uiPriority w:val="39"/>
    <w:unhideWhenUsed/>
    <w:rsid w:val="00970AAE"/>
    <w:pPr>
      <w:keepNext/>
      <w:spacing w:before="240" w:after="0" w:line="240" w:lineRule="auto"/>
    </w:pPr>
    <w:rPr>
      <w:rFonts w:ascii="Times New Roman" w:hAnsi="Times New Roman"/>
      <w:b/>
    </w:rPr>
  </w:style>
  <w:style w:type="paragraph" w:styleId="BodyText">
    <w:name w:val="Body Text"/>
    <w:basedOn w:val="Normal"/>
    <w:link w:val="BodyTextChar"/>
    <w:uiPriority w:val="99"/>
    <w:unhideWhenUsed/>
    <w:rsid w:val="00DE1ED0"/>
    <w:pPr>
      <w:spacing w:after="240" w:line="360" w:lineRule="auto"/>
    </w:pPr>
    <w:rPr>
      <w:rFonts w:ascii="Times New Roman" w:hAnsi="Times New Roman"/>
    </w:rPr>
  </w:style>
  <w:style w:type="character" w:customStyle="1" w:styleId="BodyTextChar">
    <w:name w:val="Body Text Char"/>
    <w:basedOn w:val="DefaultParagraphFont"/>
    <w:link w:val="BodyText"/>
    <w:uiPriority w:val="99"/>
    <w:rsid w:val="00DE1ED0"/>
    <w:rPr>
      <w:rFonts w:ascii="Times New Roman" w:hAnsi="Times New Roman"/>
    </w:rPr>
  </w:style>
  <w:style w:type="character" w:styleId="Hyperlink">
    <w:name w:val="Hyperlink"/>
    <w:basedOn w:val="DefaultParagraphFont"/>
    <w:uiPriority w:val="99"/>
    <w:unhideWhenUsed/>
    <w:rsid w:val="00DE1ED0"/>
    <w:rPr>
      <w:color w:val="0563C1" w:themeColor="hyperlink"/>
      <w:u w:val="single"/>
    </w:rPr>
  </w:style>
  <w:style w:type="table" w:styleId="TableGrid">
    <w:name w:val="Table Grid"/>
    <w:basedOn w:val="TableNormal"/>
    <w:uiPriority w:val="39"/>
    <w:rsid w:val="001D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qFormat/>
    <w:rsid w:val="001D2624"/>
    <w:pPr>
      <w:spacing w:before="40" w:after="40" w:line="240" w:lineRule="auto"/>
    </w:pPr>
    <w:rPr>
      <w:rFonts w:ascii="Times New Roman" w:eastAsia="Times New Roman" w:hAnsi="Times New Roman" w:cs="Times New Roman"/>
      <w:szCs w:val="20"/>
    </w:rPr>
  </w:style>
  <w:style w:type="table" w:customStyle="1" w:styleId="BMcD">
    <w:name w:val="BMcD"/>
    <w:basedOn w:val="TableNormal"/>
    <w:uiPriority w:val="99"/>
    <w:rsid w:val="001D2624"/>
    <w:pPr>
      <w:spacing w:before="40" w:after="40" w:line="240" w:lineRule="auto"/>
      <w:jc w:val="center"/>
    </w:pPr>
    <w:rPr>
      <w:rFonts w:ascii="Times New Roman" w:eastAsia="Times New Roman" w:hAnsi="Times New Roman" w:cs="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paceAfterTable">
    <w:name w:val="Space After Table"/>
    <w:basedOn w:val="ParagraphText"/>
    <w:qFormat/>
    <w:rsid w:val="00EA01D3"/>
    <w:pPr>
      <w:spacing w:after="0"/>
    </w:pPr>
    <w:rPr>
      <w:sz w:val="2"/>
    </w:rPr>
  </w:style>
  <w:style w:type="paragraph" w:styleId="BalloonText">
    <w:name w:val="Balloon Text"/>
    <w:basedOn w:val="Normal"/>
    <w:link w:val="BalloonTextChar"/>
    <w:uiPriority w:val="99"/>
    <w:semiHidden/>
    <w:unhideWhenUsed/>
    <w:rsid w:val="008E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rson\Desktop\PacifiCorp\_Specificatio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959A-FF51-4B47-8DE0-6BECB8AD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_SpecificationsTemplate</Template>
  <TotalTime>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Aaron</dc:creator>
  <cp:keywords/>
  <dc:description/>
  <cp:lastModifiedBy>Griswold, Bruce {Mkt Function}</cp:lastModifiedBy>
  <cp:revision>9</cp:revision>
  <dcterms:created xsi:type="dcterms:W3CDTF">2017-06-09T22:11:00Z</dcterms:created>
  <dcterms:modified xsi:type="dcterms:W3CDTF">2017-09-27T17:26:00Z</dcterms:modified>
</cp:coreProperties>
</file>