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309B1" w14:textId="35C39414" w:rsidR="00CF5700" w:rsidRDefault="00A44D31" w:rsidP="00F4535B">
      <w:pPr>
        <w:pStyle w:val="Heading2New"/>
      </w:pPr>
      <w:bookmarkStart w:id="0" w:name="_Toc343082433"/>
      <w:bookmarkStart w:id="1" w:name="_GoBack"/>
      <w:bookmarkEnd w:id="1"/>
      <w:proofErr w:type="gramStart"/>
      <w:r>
        <w:t>Appendix A-10</w:t>
      </w:r>
      <w:r w:rsidR="00F4535B">
        <w:t>.</w:t>
      </w:r>
      <w:proofErr w:type="gramEnd"/>
      <w:r w:rsidR="00F4535B">
        <w:t xml:space="preserve"> </w:t>
      </w:r>
      <w:r w:rsidR="00CF5700">
        <w:t>Plant Performance Guarantee</w:t>
      </w:r>
      <w:bookmarkEnd w:id="0"/>
    </w:p>
    <w:p w14:paraId="5997BADE" w14:textId="77777777" w:rsidR="00CF5700" w:rsidRDefault="00CF5700" w:rsidP="00F4535B">
      <w:pPr>
        <w:pStyle w:val="Heading3"/>
        <w:numPr>
          <w:ilvl w:val="0"/>
          <w:numId w:val="0"/>
        </w:numPr>
      </w:pPr>
      <w:bookmarkStart w:id="2" w:name="_Toc343082434"/>
      <w:r w:rsidRPr="00AA14C6">
        <w:t>Energy Performance Guarantee</w:t>
      </w:r>
      <w:bookmarkEnd w:id="2"/>
    </w:p>
    <w:p w14:paraId="2CE8C23F" w14:textId="77777777" w:rsidR="00CF5700" w:rsidRDefault="00CF5700" w:rsidP="00CF5700">
      <w:pPr>
        <w:pStyle w:val="BodyText"/>
      </w:pPr>
      <w:r w:rsidRPr="00AA14C6">
        <w:t>Contractor guarantees that, duri</w:t>
      </w:r>
      <w:r w:rsidR="009C5366">
        <w:t>ng each Measurement Period (</w:t>
      </w:r>
      <w:r w:rsidRPr="009C5366">
        <w:t>MP</w:t>
      </w:r>
      <w:r w:rsidRPr="00AA14C6">
        <w:t xml:space="preserve">) in the Performance Guarantee Period, the Actual </w:t>
      </w:r>
      <w:r>
        <w:t>Plant</w:t>
      </w:r>
      <w:r w:rsidRPr="00AA14C6">
        <w:t xml:space="preserve"> Output </w:t>
      </w:r>
      <w:r w:rsidR="009C5366">
        <w:t>in kWh (</w:t>
      </w:r>
      <w:r w:rsidRPr="00AA14C6">
        <w:t>E</w:t>
      </w:r>
      <w:r w:rsidRPr="00AA14C6">
        <w:rPr>
          <w:vertAlign w:val="subscript"/>
        </w:rPr>
        <w:t>ACT</w:t>
      </w:r>
      <w:r w:rsidRPr="00AA14C6">
        <w:t xml:space="preserve">) shall be no less than the stated amount of the Weather-Adjusted Expected </w:t>
      </w:r>
      <w:r>
        <w:t>Plant</w:t>
      </w:r>
      <w:r w:rsidR="009C5366">
        <w:t xml:space="preserve"> Output in kWh (</w:t>
      </w:r>
      <w:r w:rsidRPr="00AA14C6">
        <w:t>E</w:t>
      </w:r>
      <w:r w:rsidRPr="00AA14C6">
        <w:rPr>
          <w:vertAlign w:val="subscript"/>
        </w:rPr>
        <w:t>EXP</w:t>
      </w:r>
      <w:r w:rsidRPr="00AA14C6">
        <w:t>) for that Measurement Period, in accordance with the following equation:</w:t>
      </w:r>
    </w:p>
    <w:p w14:paraId="7870BE6E" w14:textId="77777777" w:rsidR="00CF5700" w:rsidRPr="0016668A" w:rsidRDefault="00CF5700" w:rsidP="00CF5700">
      <w:pPr>
        <w:pStyle w:val="BodyText"/>
        <w:jc w:val="center"/>
        <w:rPr>
          <w:i/>
          <w:sz w:val="28"/>
          <w:szCs w:val="28"/>
        </w:rPr>
      </w:pPr>
      <w:r w:rsidRPr="0016668A">
        <w:rPr>
          <w:i/>
          <w:sz w:val="28"/>
          <w:szCs w:val="28"/>
        </w:rPr>
        <w:t>E</w:t>
      </w:r>
      <w:r w:rsidRPr="0016668A">
        <w:rPr>
          <w:rFonts w:ascii="Times New Roman Italic" w:hAnsi="Times New Roman Italic"/>
          <w:i/>
          <w:sz w:val="28"/>
          <w:szCs w:val="28"/>
          <w:vertAlign w:val="subscript"/>
        </w:rPr>
        <w:t>ACT</w:t>
      </w:r>
      <w:r w:rsidRPr="0016668A">
        <w:rPr>
          <w:rFonts w:ascii="Times New Roman Italic" w:hAnsi="Times New Roman Italic"/>
          <w:i/>
          <w:sz w:val="28"/>
          <w:szCs w:val="28"/>
          <w:vertAlign w:val="superscript"/>
        </w:rPr>
        <w:t>MP</w:t>
      </w:r>
      <w:r w:rsidRPr="0016668A">
        <w:rPr>
          <w:i/>
          <w:sz w:val="28"/>
          <w:szCs w:val="28"/>
        </w:rPr>
        <w:t xml:space="preserve"> ≥ E</w:t>
      </w:r>
      <w:r w:rsidRPr="0016668A">
        <w:rPr>
          <w:rFonts w:ascii="Times New Roman Italic" w:hAnsi="Times New Roman Italic"/>
          <w:i/>
          <w:sz w:val="28"/>
          <w:szCs w:val="28"/>
          <w:vertAlign w:val="subscript"/>
        </w:rPr>
        <w:t>EXP</w:t>
      </w:r>
      <w:r w:rsidRPr="0016668A">
        <w:rPr>
          <w:rFonts w:ascii="Times New Roman Italic" w:hAnsi="Times New Roman Italic"/>
          <w:i/>
          <w:sz w:val="28"/>
          <w:szCs w:val="28"/>
          <w:vertAlign w:val="superscript"/>
        </w:rPr>
        <w:t>MP</w:t>
      </w:r>
    </w:p>
    <w:p w14:paraId="1846701C" w14:textId="77777777" w:rsidR="00CF5700" w:rsidRPr="00AA14C6" w:rsidRDefault="00CF5700" w:rsidP="00CF5700">
      <w:pPr>
        <w:pStyle w:val="BodyText"/>
        <w:rPr>
          <w:szCs w:val="22"/>
        </w:rPr>
      </w:pPr>
      <w:r w:rsidRPr="00AA14C6">
        <w:rPr>
          <w:szCs w:val="22"/>
        </w:rPr>
        <w:t>where the following terms have the following meanings:</w:t>
      </w:r>
    </w:p>
    <w:p w14:paraId="6147963F" w14:textId="77777777" w:rsidR="00CF5700" w:rsidRPr="0016668A" w:rsidRDefault="00CF5700" w:rsidP="00CF5700">
      <w:pPr>
        <w:pStyle w:val="BodyText"/>
        <w:rPr>
          <w:b/>
          <w:i/>
        </w:rPr>
      </w:pPr>
      <w:r w:rsidRPr="0016668A">
        <w:rPr>
          <w:b/>
          <w:i/>
        </w:rPr>
        <w:t>“</w:t>
      </w:r>
      <w:r w:rsidRPr="0016668A">
        <w:rPr>
          <w:b/>
          <w:i/>
          <w:u w:val="single"/>
        </w:rPr>
        <w:t>Actual Plant Output</w:t>
      </w:r>
      <w:r w:rsidR="009C5366">
        <w:rPr>
          <w:b/>
          <w:i/>
        </w:rPr>
        <w:t>” (</w:t>
      </w:r>
      <w:r w:rsidRPr="0016668A">
        <w:rPr>
          <w:b/>
          <w:i/>
        </w:rPr>
        <w:t>E</w:t>
      </w:r>
      <w:r w:rsidRPr="0016668A">
        <w:rPr>
          <w:b/>
          <w:i/>
          <w:vertAlign w:val="subscript"/>
        </w:rPr>
        <w:t>ACT</w:t>
      </w:r>
      <w:r w:rsidRPr="0016668A">
        <w:rPr>
          <w:b/>
          <w:i/>
          <w:vertAlign w:val="superscript"/>
        </w:rPr>
        <w:t>MP</w:t>
      </w:r>
      <w:r w:rsidRPr="0016668A">
        <w:rPr>
          <w:b/>
          <w:i/>
        </w:rPr>
        <w:t>) means, in respect of a Measurement Peri</w:t>
      </w:r>
      <w:r w:rsidR="009C5366">
        <w:rPr>
          <w:b/>
          <w:i/>
        </w:rPr>
        <w:t>od, the alternating current or (AC)</w:t>
      </w:r>
      <w:r w:rsidRPr="0016668A">
        <w:rPr>
          <w:b/>
          <w:i/>
        </w:rPr>
        <w:t xml:space="preserve"> electricity production (in kWh) of</w:t>
      </w:r>
      <w:r w:rsidR="00723EFE">
        <w:rPr>
          <w:b/>
          <w:i/>
        </w:rPr>
        <w:t xml:space="preserve"> the Plant at the Point of Interconnection</w:t>
      </w:r>
      <w:r w:rsidRPr="0016668A">
        <w:rPr>
          <w:b/>
          <w:i/>
        </w:rPr>
        <w:t>, as recorded by the onsite SCADA readings from the revenue meter, during that Measurement Period. The process for calcul</w:t>
      </w:r>
      <w:r w:rsidR="009C5366">
        <w:rPr>
          <w:b/>
          <w:i/>
        </w:rPr>
        <w:t>ating Actual Plant Output</w:t>
      </w:r>
      <w:r w:rsidRPr="0016668A">
        <w:rPr>
          <w:b/>
          <w:i/>
        </w:rPr>
        <w:t xml:space="preserve"> for each Measurement Period </w:t>
      </w:r>
      <w:r w:rsidR="009C5366">
        <w:rPr>
          <w:b/>
          <w:i/>
        </w:rPr>
        <w:t>(</w:t>
      </w:r>
      <w:r w:rsidR="009C5366" w:rsidRPr="0016668A">
        <w:rPr>
          <w:b/>
          <w:i/>
        </w:rPr>
        <w:t>E</w:t>
      </w:r>
      <w:r w:rsidR="009C5366" w:rsidRPr="0016668A">
        <w:rPr>
          <w:b/>
          <w:i/>
          <w:vertAlign w:val="subscript"/>
        </w:rPr>
        <w:t>ACT</w:t>
      </w:r>
      <w:r w:rsidR="009C5366" w:rsidRPr="0016668A">
        <w:rPr>
          <w:b/>
          <w:i/>
          <w:vertAlign w:val="superscript"/>
        </w:rPr>
        <w:t>MP</w:t>
      </w:r>
      <w:r w:rsidR="009C5366" w:rsidRPr="0016668A">
        <w:rPr>
          <w:b/>
          <w:i/>
        </w:rPr>
        <w:t xml:space="preserve">) </w:t>
      </w:r>
      <w:r w:rsidRPr="0016668A">
        <w:rPr>
          <w:b/>
          <w:i/>
        </w:rPr>
        <w:t xml:space="preserve">of the Performance Guarantee Period shall be as follows: </w:t>
      </w:r>
    </w:p>
    <w:p w14:paraId="125BD1F2" w14:textId="77777777" w:rsidR="00CF5700" w:rsidRPr="00AA14C6" w:rsidRDefault="00CF5700" w:rsidP="00CF5700">
      <w:pPr>
        <w:pStyle w:val="Number"/>
        <w:numPr>
          <w:ilvl w:val="0"/>
          <w:numId w:val="2"/>
        </w:numPr>
        <w:spacing w:after="120"/>
        <w:ind w:left="360"/>
      </w:pPr>
      <w:r w:rsidRPr="00AA14C6">
        <w:t>During each Measurement Period, Owner will collect kWh output data at the Delivery Point using its SCADA.</w:t>
      </w:r>
      <w:r>
        <w:t xml:space="preserve"> </w:t>
      </w:r>
      <w:r w:rsidRPr="00AA14C6">
        <w:t xml:space="preserve">For each Measurement Period, Owner will sum the daily kWh output provided by the SCADA to calculate the Actual </w:t>
      </w:r>
      <w:r>
        <w:t>Plant</w:t>
      </w:r>
      <w:r w:rsidRPr="00AA14C6">
        <w:t xml:space="preserve"> Output for such Measurement Period.</w:t>
      </w:r>
    </w:p>
    <w:p w14:paraId="6791E955" w14:textId="77777777" w:rsidR="00CF5700" w:rsidRPr="00AA14C6" w:rsidRDefault="00CF5700" w:rsidP="00CF5700">
      <w:pPr>
        <w:pStyle w:val="Number"/>
        <w:numPr>
          <w:ilvl w:val="0"/>
          <w:numId w:val="2"/>
        </w:numPr>
        <w:spacing w:after="120"/>
        <w:ind w:left="360"/>
      </w:pPr>
      <w:r w:rsidRPr="00AA14C6">
        <w:t xml:space="preserve">The metering equipment at the Delivery Point shall be periodically calibrated or replaced according to standard industry </w:t>
      </w:r>
      <w:r>
        <w:t>practice</w:t>
      </w:r>
      <w:r w:rsidRPr="00AA14C6">
        <w:t>.</w:t>
      </w:r>
      <w:r>
        <w:t xml:space="preserve"> Owner shall </w:t>
      </w:r>
      <w:r w:rsidRPr="00AA14C6">
        <w:t>provide Contractor written proof of any calibrations or replacements upon the written request of Contractor.</w:t>
      </w:r>
      <w:r>
        <w:t xml:space="preserve"> </w:t>
      </w:r>
    </w:p>
    <w:p w14:paraId="63B15976" w14:textId="77777777" w:rsidR="00CF5700" w:rsidRPr="00AA14C6" w:rsidRDefault="00CF5700" w:rsidP="00CF5700">
      <w:pPr>
        <w:pStyle w:val="Number"/>
        <w:numPr>
          <w:ilvl w:val="0"/>
          <w:numId w:val="2"/>
        </w:numPr>
        <w:spacing w:after="120"/>
        <w:ind w:left="360"/>
      </w:pPr>
      <w:r w:rsidRPr="00AA14C6">
        <w:t>In the event of hardware, communication, or other failure with the SCADA system, Owner will make commercially reasonable efforts to resolve the issue in a timely manner.</w:t>
      </w:r>
      <w:r>
        <w:t xml:space="preserve"> </w:t>
      </w:r>
      <w:r w:rsidRPr="00AA14C6">
        <w:t>In the event that electrical data is lost, Owner will read the cumulative electrical data directly from the electrical meter and calculate the electricity generated during any missing interval.</w:t>
      </w:r>
      <w:r>
        <w:t xml:space="preserve"> </w:t>
      </w:r>
      <w:r w:rsidRPr="00AA14C6">
        <w:t>In the event that it is not possible to read the electrical meter due to a meter failure or other issue, Owner will reasonably estimate the electricity production during the missing interval by reference to (i) actual meteorological data provided by the SCADA (or, in the event meteorological data is lost due to hardware, communication, or other failure with the SCADA system,</w:t>
      </w:r>
      <w:r w:rsidRPr="00AA14C6">
        <w:rPr>
          <w:szCs w:val="22"/>
        </w:rPr>
        <w:t xml:space="preserve"> meteorological data from a nearby meteorological station that Owner, in its discretion, selects for such purpose) and (ii) the electricity production of the </w:t>
      </w:r>
      <w:r>
        <w:rPr>
          <w:szCs w:val="22"/>
        </w:rPr>
        <w:t>Plant</w:t>
      </w:r>
      <w:r w:rsidRPr="00AA14C6">
        <w:rPr>
          <w:szCs w:val="22"/>
        </w:rPr>
        <w:t xml:space="preserve"> during previous similar time intervals during which there was similar irradiance</w:t>
      </w:r>
      <w:r w:rsidRPr="00AA14C6">
        <w:t>.</w:t>
      </w:r>
      <w:r>
        <w:t xml:space="preserve"> </w:t>
      </w:r>
      <w:r w:rsidRPr="00AA14C6">
        <w:t>Any dispute between the Parties with respect to the foregoing shall be referred to the</w:t>
      </w:r>
      <w:r>
        <w:t xml:space="preserve"> </w:t>
      </w:r>
      <w:r w:rsidRPr="00AA14C6">
        <w:t xml:space="preserve">Independent </w:t>
      </w:r>
      <w:r w:rsidRPr="009C5366">
        <w:t>Engineer that is mutually agreed upon by both parties for</w:t>
      </w:r>
      <w:r w:rsidRPr="00AA14C6">
        <w:t xml:space="preserve"> binding determination.</w:t>
      </w:r>
    </w:p>
    <w:p w14:paraId="25C2002D" w14:textId="77777777" w:rsidR="00CF5700" w:rsidRDefault="00CF5700" w:rsidP="00CF5700">
      <w:pPr>
        <w:suppressAutoHyphens w:val="0"/>
        <w:spacing w:after="0" w:line="240" w:lineRule="auto"/>
      </w:pPr>
      <w:r>
        <w:br w:type="page"/>
      </w:r>
    </w:p>
    <w:p w14:paraId="3AC4A264" w14:textId="78BE80C8" w:rsidR="00F35029" w:rsidRDefault="00F35029" w:rsidP="00CF5700">
      <w:pPr>
        <w:suppressAutoHyphens w:val="0"/>
        <w:spacing w:after="0" w:line="240" w:lineRule="auto"/>
        <w:rPr>
          <w:rFonts w:ascii="Times New Roman" w:hAnsi="Times New Roman"/>
          <w:color w:val="auto"/>
          <w:sz w:val="24"/>
        </w:rPr>
      </w:pPr>
    </w:p>
    <w:p w14:paraId="1E8D7EF0" w14:textId="77777777" w:rsidR="00CF5700" w:rsidRPr="00AA14C6" w:rsidRDefault="00CF5700" w:rsidP="00CF5700">
      <w:pPr>
        <w:pStyle w:val="BodyText"/>
      </w:pPr>
      <w:r w:rsidRPr="00AA14C6">
        <w:t>“</w:t>
      </w:r>
      <w:r w:rsidRPr="00AA14C6">
        <w:rPr>
          <w:u w:val="single"/>
        </w:rPr>
        <w:t xml:space="preserve">Weather-Adjusted Expected </w:t>
      </w:r>
      <w:r>
        <w:rPr>
          <w:u w:val="single"/>
        </w:rPr>
        <w:t>Plant</w:t>
      </w:r>
      <w:r w:rsidRPr="00AA14C6">
        <w:rPr>
          <w:u w:val="single"/>
        </w:rPr>
        <w:t xml:space="preserve"> Output</w:t>
      </w:r>
      <w:r w:rsidR="009C5366">
        <w:t>” (</w:t>
      </w:r>
      <w:r w:rsidRPr="00AA14C6">
        <w:t>E</w:t>
      </w:r>
      <w:r w:rsidRPr="00AA14C6">
        <w:rPr>
          <w:vertAlign w:val="subscript"/>
        </w:rPr>
        <w:t>EXP</w:t>
      </w:r>
      <w:r w:rsidRPr="00AA14C6">
        <w:rPr>
          <w:vertAlign w:val="superscript"/>
        </w:rPr>
        <w:t>MP</w:t>
      </w:r>
      <w:r w:rsidRPr="00AA14C6">
        <w:t xml:space="preserve">) means the expected energy output of the </w:t>
      </w:r>
      <w:r>
        <w:t>Plant</w:t>
      </w:r>
      <w:r w:rsidRPr="00AA14C6">
        <w:t xml:space="preserve"> (in kWh) in a Measurement Period</w:t>
      </w:r>
      <w:r w:rsidRPr="00AA14C6">
        <w:rPr>
          <w:i/>
        </w:rPr>
        <w:t xml:space="preserve"> </w:t>
      </w:r>
      <w:r w:rsidRPr="00AA14C6">
        <w:t>based on actual irradiance during that period, calculated according to the following equation:</w:t>
      </w:r>
    </w:p>
    <w:p w14:paraId="354B86B1" w14:textId="77777777" w:rsidR="00CF5700" w:rsidRPr="00AA14C6" w:rsidRDefault="00CF5700" w:rsidP="00CF5700">
      <w:pPr>
        <w:pStyle w:val="BodyText"/>
        <w:jc w:val="center"/>
      </w:pPr>
      <w:r>
        <w:rPr>
          <w:noProof/>
        </w:rPr>
        <w:drawing>
          <wp:inline distT="0" distB="0" distL="0" distR="0" wp14:anchorId="41A9D81A" wp14:editId="2BD433FD">
            <wp:extent cx="2224405" cy="4692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24405" cy="469265"/>
                    </a:xfrm>
                    <a:prstGeom prst="rect">
                      <a:avLst/>
                    </a:prstGeom>
                    <a:noFill/>
                    <a:ln w="9525">
                      <a:noFill/>
                      <a:miter lim="800000"/>
                      <a:headEnd/>
                      <a:tailEnd/>
                    </a:ln>
                  </pic:spPr>
                </pic:pic>
              </a:graphicData>
            </a:graphic>
          </wp:inline>
        </w:drawing>
      </w:r>
    </w:p>
    <w:p w14:paraId="2D7B1569" w14:textId="77777777" w:rsidR="00CF5700" w:rsidRPr="00AA14C6" w:rsidRDefault="00CF5700" w:rsidP="00CF5700">
      <w:pPr>
        <w:pStyle w:val="BodyText"/>
      </w:pPr>
      <w:r w:rsidRPr="00AA14C6">
        <w:t>where:</w:t>
      </w:r>
    </w:p>
    <w:tbl>
      <w:tblPr>
        <w:tblW w:w="0" w:type="auto"/>
        <w:tblInd w:w="828" w:type="dxa"/>
        <w:tblLook w:val="04A0" w:firstRow="1" w:lastRow="0" w:firstColumn="1" w:lastColumn="0" w:noHBand="0" w:noVBand="1"/>
      </w:tblPr>
      <w:tblGrid>
        <w:gridCol w:w="1260"/>
        <w:gridCol w:w="450"/>
        <w:gridCol w:w="1530"/>
        <w:gridCol w:w="777"/>
        <w:gridCol w:w="4731"/>
      </w:tblGrid>
      <w:tr w:rsidR="00CF5700" w:rsidRPr="00D64555" w14:paraId="16C180DA" w14:textId="77777777" w:rsidTr="005A3F95">
        <w:trPr>
          <w:trHeight w:val="422"/>
        </w:trPr>
        <w:tc>
          <w:tcPr>
            <w:tcW w:w="1260" w:type="dxa"/>
            <w:vAlign w:val="center"/>
          </w:tcPr>
          <w:p w14:paraId="65F12034" w14:textId="77777777" w:rsidR="00CF5700" w:rsidRPr="00D64555" w:rsidRDefault="00CF5700" w:rsidP="00B97926">
            <w:pPr>
              <w:pStyle w:val="BodyText"/>
            </w:pPr>
            <w:r>
              <w:rPr>
                <w:noProof/>
                <w:position w:val="-12"/>
              </w:rPr>
              <w:drawing>
                <wp:inline distT="0" distB="0" distL="0" distR="0" wp14:anchorId="06DB42E3" wp14:editId="24A1A701">
                  <wp:extent cx="584835" cy="230505"/>
                  <wp:effectExtent l="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84835" cy="230505"/>
                          </a:xfrm>
                          <a:prstGeom prst="rect">
                            <a:avLst/>
                          </a:prstGeom>
                          <a:noFill/>
                          <a:ln w="9525">
                            <a:noFill/>
                            <a:miter lim="800000"/>
                            <a:headEnd/>
                            <a:tailEnd/>
                          </a:ln>
                        </pic:spPr>
                      </pic:pic>
                    </a:graphicData>
                  </a:graphic>
                </wp:inline>
              </w:drawing>
            </w:r>
          </w:p>
          <w:p w14:paraId="6E6D5A88" w14:textId="77777777" w:rsidR="00CF5700" w:rsidRDefault="00CF5700" w:rsidP="00B97926">
            <w:pPr>
              <w:pStyle w:val="BodyText"/>
              <w:rPr>
                <w:i/>
              </w:rPr>
            </w:pPr>
          </w:p>
          <w:p w14:paraId="743705F8" w14:textId="77777777" w:rsidR="00CF5700" w:rsidRPr="00D64555" w:rsidRDefault="00CF5700" w:rsidP="00B97926">
            <w:pPr>
              <w:pStyle w:val="BodyText"/>
              <w:rPr>
                <w:i/>
              </w:rPr>
            </w:pPr>
            <w:r w:rsidRPr="00D64555">
              <w:rPr>
                <w:i/>
              </w:rPr>
              <w:t>P</w:t>
            </w:r>
            <w:r w:rsidRPr="00D64555">
              <w:rPr>
                <w:i/>
                <w:vertAlign w:val="subscript"/>
              </w:rPr>
              <w:t>FINAL</w:t>
            </w:r>
          </w:p>
        </w:tc>
        <w:tc>
          <w:tcPr>
            <w:tcW w:w="450" w:type="dxa"/>
          </w:tcPr>
          <w:p w14:paraId="7DECF0F4" w14:textId="77777777" w:rsidR="00CF5700" w:rsidRPr="00D64555" w:rsidRDefault="00CF5700" w:rsidP="00B97926">
            <w:pPr>
              <w:pStyle w:val="BodyText"/>
            </w:pPr>
            <w:r w:rsidRPr="00D64555">
              <w:t>=</w:t>
            </w:r>
          </w:p>
          <w:p w14:paraId="05E4B635" w14:textId="77777777" w:rsidR="00CF5700" w:rsidRDefault="00CF5700" w:rsidP="00B97926">
            <w:pPr>
              <w:pStyle w:val="BodyText"/>
            </w:pPr>
          </w:p>
          <w:p w14:paraId="322EC295" w14:textId="77777777" w:rsidR="00CF5700" w:rsidRPr="00D64555" w:rsidRDefault="00CF5700" w:rsidP="00B97926">
            <w:pPr>
              <w:pStyle w:val="BodyText"/>
            </w:pPr>
            <w:r w:rsidRPr="00D64555">
              <w:t>=</w:t>
            </w:r>
          </w:p>
        </w:tc>
        <w:tc>
          <w:tcPr>
            <w:tcW w:w="7038" w:type="dxa"/>
            <w:gridSpan w:val="3"/>
          </w:tcPr>
          <w:p w14:paraId="46EB91DD" w14:textId="77777777" w:rsidR="00CF5700" w:rsidRPr="00D64555" w:rsidRDefault="00CF5700" w:rsidP="00B97926">
            <w:pPr>
              <w:pStyle w:val="BodyText"/>
              <w:spacing w:after="120"/>
            </w:pPr>
            <w:r w:rsidRPr="00D64555">
              <w:t>The Guaranteed Capacity of the Plant as set out in the Agreement, in MW</w:t>
            </w:r>
            <w:r w:rsidRPr="00D64555">
              <w:rPr>
                <w:vertAlign w:val="subscript"/>
              </w:rPr>
              <w:t>AC</w:t>
            </w:r>
            <w:r w:rsidRPr="00D64555">
              <w:t>.</w:t>
            </w:r>
          </w:p>
          <w:p w14:paraId="5647ACEA" w14:textId="77777777" w:rsidR="00CF5700" w:rsidRPr="00D64555" w:rsidRDefault="00CF5700" w:rsidP="00B97926">
            <w:pPr>
              <w:pStyle w:val="BodyText"/>
            </w:pPr>
            <w:r w:rsidRPr="00D64555">
              <w:t>The Net Capacity Output of the Plant as set out in the Agreement, in MW</w:t>
            </w:r>
            <w:r w:rsidRPr="00D64555">
              <w:rPr>
                <w:vertAlign w:val="subscript"/>
              </w:rPr>
              <w:t>AC</w:t>
            </w:r>
            <w:r w:rsidRPr="00D64555">
              <w:t>.</w:t>
            </w:r>
          </w:p>
        </w:tc>
      </w:tr>
      <w:tr w:rsidR="00CF5700" w:rsidRPr="00D64555" w14:paraId="559648BA" w14:textId="77777777" w:rsidTr="005A3F95">
        <w:trPr>
          <w:trHeight w:val="422"/>
        </w:trPr>
        <w:tc>
          <w:tcPr>
            <w:tcW w:w="1260" w:type="dxa"/>
            <w:tcBorders>
              <w:bottom w:val="single" w:sz="4" w:space="0" w:color="auto"/>
            </w:tcBorders>
          </w:tcPr>
          <w:p w14:paraId="1878D7A1" w14:textId="77777777" w:rsidR="00CF5700" w:rsidRPr="00D64555" w:rsidRDefault="00CF5700" w:rsidP="00B97926">
            <w:pPr>
              <w:pStyle w:val="BodyText"/>
            </w:pPr>
            <w:r>
              <w:rPr>
                <w:noProof/>
                <w:position w:val="-10"/>
              </w:rPr>
              <w:drawing>
                <wp:inline distT="0" distB="0" distL="0" distR="0" wp14:anchorId="68908F1A" wp14:editId="0CCECC10">
                  <wp:extent cx="395605" cy="238760"/>
                  <wp:effectExtent l="0" t="0" r="444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95605" cy="238760"/>
                          </a:xfrm>
                          <a:prstGeom prst="rect">
                            <a:avLst/>
                          </a:prstGeom>
                          <a:noFill/>
                          <a:ln w="9525">
                            <a:noFill/>
                            <a:miter lim="800000"/>
                            <a:headEnd/>
                            <a:tailEnd/>
                          </a:ln>
                        </pic:spPr>
                      </pic:pic>
                    </a:graphicData>
                  </a:graphic>
                </wp:inline>
              </w:drawing>
            </w:r>
          </w:p>
        </w:tc>
        <w:tc>
          <w:tcPr>
            <w:tcW w:w="450" w:type="dxa"/>
            <w:tcBorders>
              <w:bottom w:val="single" w:sz="4" w:space="0" w:color="auto"/>
            </w:tcBorders>
          </w:tcPr>
          <w:p w14:paraId="6EF50A4F" w14:textId="77777777" w:rsidR="00CF5700" w:rsidRPr="00D64555" w:rsidRDefault="00CF5700" w:rsidP="00B97926">
            <w:pPr>
              <w:pStyle w:val="BodyText"/>
            </w:pPr>
            <w:r w:rsidRPr="00D64555">
              <w:t>=</w:t>
            </w:r>
          </w:p>
        </w:tc>
        <w:tc>
          <w:tcPr>
            <w:tcW w:w="7038" w:type="dxa"/>
            <w:gridSpan w:val="3"/>
            <w:tcBorders>
              <w:bottom w:val="single" w:sz="4" w:space="0" w:color="auto"/>
            </w:tcBorders>
          </w:tcPr>
          <w:p w14:paraId="49997C33" w14:textId="114F74F9" w:rsidR="00CF5700" w:rsidRDefault="00CF5700" w:rsidP="00B97926">
            <w:pPr>
              <w:pStyle w:val="BodyText"/>
              <w:spacing w:after="120"/>
            </w:pPr>
            <w:r w:rsidRPr="00D64555">
              <w:t xml:space="preserve">The </w:t>
            </w:r>
            <w:r w:rsidR="00F859D3">
              <w:t>M</w:t>
            </w:r>
            <w:r w:rsidRPr="00D64555">
              <w:t xml:space="preserve">odeled </w:t>
            </w:r>
            <w:r w:rsidR="00F859D3">
              <w:t>E</w:t>
            </w:r>
            <w:r w:rsidR="00F859D3" w:rsidRPr="00D64555">
              <w:t xml:space="preserve">nergy </w:t>
            </w:r>
            <w:r w:rsidR="00F859D3">
              <w:t>O</w:t>
            </w:r>
            <w:r w:rsidR="00F859D3" w:rsidRPr="00D64555">
              <w:t xml:space="preserve">utput </w:t>
            </w:r>
            <w:r w:rsidRPr="00D64555">
              <w:t xml:space="preserve">of the Plant (in kWh) in the applicable Measurement Period of the applicable Performance Guarantee Period as set out in </w:t>
            </w:r>
            <w:r w:rsidRPr="008541CF">
              <w:t>Table</w:t>
            </w:r>
            <w:r w:rsidR="008A5DBA">
              <w:t>s</w:t>
            </w:r>
            <w:r w:rsidRPr="008541CF">
              <w:t xml:space="preserve"> 1</w:t>
            </w:r>
            <w:r w:rsidR="008A5DBA">
              <w:t xml:space="preserve"> and 2</w:t>
            </w:r>
            <w:r w:rsidRPr="00D64555">
              <w:t xml:space="preserve"> below, which, for the avoidance of doubt, takes all de-rates and other losses associated with the Plant into consideration.</w:t>
            </w:r>
          </w:p>
          <w:p w14:paraId="1FF9066C" w14:textId="56996AD6" w:rsidR="00AC10DD" w:rsidRDefault="00AC10DD" w:rsidP="00B97926">
            <w:pPr>
              <w:pStyle w:val="BodyText"/>
              <w:spacing w:after="120"/>
            </w:pPr>
            <w:r>
              <w:t xml:space="preserve">Owner proposes that PVSYST Version 5 or greater </w:t>
            </w:r>
            <w:r w:rsidR="00EA3B6F">
              <w:t>will be</w:t>
            </w:r>
            <w:r>
              <w:t xml:space="preserve"> utilized by the contractor as a tool to model performance. </w:t>
            </w:r>
            <w:r w:rsidR="00EA3B6F">
              <w:t xml:space="preserve">Performance will be weather-adjusted (actual site date will be used as the basis for the PVSYST simulation). </w:t>
            </w:r>
            <w:r>
              <w:t xml:space="preserve">Contractor to provide a PVSYST file </w:t>
            </w:r>
            <w:r w:rsidR="00A5698A">
              <w:t xml:space="preserve">(to be used as the basis for the guarantee) </w:t>
            </w:r>
            <w:r>
              <w:t xml:space="preserve">showing assumptions, derates, and losses for the proposed project. If there are additional </w:t>
            </w:r>
            <w:proofErr w:type="spellStart"/>
            <w:r>
              <w:t>derate</w:t>
            </w:r>
            <w:proofErr w:type="spellEnd"/>
            <w:r>
              <w:t xml:space="preserve"> factors (down-time, inverter </w:t>
            </w:r>
            <w:proofErr w:type="spellStart"/>
            <w:r>
              <w:t>derate</w:t>
            </w:r>
            <w:proofErr w:type="spellEnd"/>
            <w:r>
              <w:t>, clipping, weather station uncertainty)</w:t>
            </w:r>
            <w:r w:rsidR="00A5698A">
              <w:t xml:space="preserve"> outside of PVSYST</w:t>
            </w:r>
            <w:r>
              <w:t xml:space="preserve">, then the additional </w:t>
            </w:r>
            <w:proofErr w:type="spellStart"/>
            <w:r>
              <w:t>derate</w:t>
            </w:r>
            <w:proofErr w:type="spellEnd"/>
            <w:r>
              <w:t xml:space="preserve"> factors should be listed in Table 1. </w:t>
            </w:r>
            <w:r w:rsidR="00AD4059">
              <w:t>Note that module temperature calculations will be modeled in PVSYST from ambient temperature reading</w:t>
            </w:r>
            <w:r w:rsidR="002975ED">
              <w:t>s</w:t>
            </w:r>
            <w:r w:rsidR="00AD4059">
              <w:t xml:space="preserve"> from meteorological station at site.</w:t>
            </w:r>
          </w:p>
          <w:p w14:paraId="6F9C7FA1" w14:textId="45D5A33A" w:rsidR="00FA0883" w:rsidRDefault="00FA0883" w:rsidP="00B97926">
            <w:pPr>
              <w:pStyle w:val="BodyText"/>
              <w:spacing w:after="120"/>
            </w:pPr>
            <w:r>
              <w:t xml:space="preserve">Owner provided PVsyst files for each site are </w:t>
            </w:r>
            <w:r w:rsidRPr="00475E97">
              <w:t>located in Appendix A-11</w:t>
            </w:r>
            <w:r w:rsidR="00F35029" w:rsidRPr="00475E97">
              <w:t xml:space="preserve"> – Owner Provided PVsyst Files</w:t>
            </w:r>
            <w:r w:rsidRPr="00475E97">
              <w:t>. The files include</w:t>
            </w:r>
            <w:r>
              <w:t xml:space="preserve"> project files (.</w:t>
            </w:r>
            <w:proofErr w:type="spellStart"/>
            <w:r>
              <w:t>prj</w:t>
            </w:r>
            <w:proofErr w:type="spellEnd"/>
            <w:r>
              <w:t>), variant files (.</w:t>
            </w:r>
            <w:r w:rsidR="005A3F95">
              <w:t>vc</w:t>
            </w:r>
            <w:r>
              <w:t>0), shading files (.</w:t>
            </w:r>
            <w:proofErr w:type="spellStart"/>
            <w:r>
              <w:t>shd</w:t>
            </w:r>
            <w:proofErr w:type="spellEnd"/>
            <w:r>
              <w:t>), and meteorological files (.tm2) electronic files.</w:t>
            </w:r>
          </w:p>
          <w:p w14:paraId="6DF607A4" w14:textId="2B3B99E0" w:rsidR="00020A86" w:rsidRDefault="00020A86" w:rsidP="00B97926">
            <w:pPr>
              <w:pStyle w:val="BodyText"/>
              <w:spacing w:after="120"/>
            </w:pPr>
            <w:r>
              <w:t>Contractor shall provide PVsyst files and output reports. The PVsyst files and report shall be placed in Appendix A-8.</w:t>
            </w:r>
          </w:p>
          <w:p w14:paraId="52E20455" w14:textId="77777777" w:rsidR="00523A68" w:rsidRDefault="00523A68" w:rsidP="00B97926">
            <w:pPr>
              <w:pStyle w:val="BodyText"/>
              <w:spacing w:after="120"/>
            </w:pPr>
          </w:p>
          <w:p w14:paraId="43CD1655" w14:textId="77777777" w:rsidR="00523A68" w:rsidRDefault="00523A68" w:rsidP="00B97926">
            <w:pPr>
              <w:pStyle w:val="BodyText"/>
              <w:spacing w:after="120"/>
            </w:pPr>
          </w:p>
          <w:p w14:paraId="2DDE9279" w14:textId="77777777" w:rsidR="00523A68" w:rsidRDefault="00523A68" w:rsidP="00B97926">
            <w:pPr>
              <w:pStyle w:val="BodyText"/>
              <w:spacing w:after="120"/>
            </w:pPr>
          </w:p>
          <w:p w14:paraId="4EA5EC65" w14:textId="77777777" w:rsidR="00523A68" w:rsidRDefault="00523A68" w:rsidP="00B97926">
            <w:pPr>
              <w:pStyle w:val="BodyText"/>
              <w:spacing w:after="120"/>
            </w:pPr>
          </w:p>
          <w:p w14:paraId="4E6AC09F" w14:textId="77777777" w:rsidR="00523A68" w:rsidRDefault="00523A68" w:rsidP="00B97926">
            <w:pPr>
              <w:pStyle w:val="BodyText"/>
              <w:spacing w:after="120"/>
            </w:pPr>
          </w:p>
          <w:p w14:paraId="706C7D1C" w14:textId="77777777" w:rsidR="00523A68" w:rsidRDefault="00523A68" w:rsidP="00B97926">
            <w:pPr>
              <w:pStyle w:val="BodyText"/>
              <w:spacing w:after="120"/>
            </w:pPr>
          </w:p>
          <w:p w14:paraId="77D7A51D" w14:textId="77777777" w:rsidR="00AC10DD" w:rsidRPr="00D64555" w:rsidRDefault="00AC10DD" w:rsidP="00AC10DD">
            <w:pPr>
              <w:pStyle w:val="BodyText"/>
              <w:rPr>
                <w:b/>
              </w:rPr>
            </w:pPr>
            <w:r w:rsidRPr="00D64555">
              <w:rPr>
                <w:b/>
              </w:rPr>
              <w:lastRenderedPageBreak/>
              <w:t>Table 1</w:t>
            </w:r>
            <w:r>
              <w:rPr>
                <w:b/>
              </w:rPr>
              <w:t>. Modeled Energy Output for Each Measurement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724"/>
              <w:gridCol w:w="1794"/>
              <w:gridCol w:w="1633"/>
            </w:tblGrid>
            <w:tr w:rsidR="00AC10DD" w:rsidRPr="00875A1B" w14:paraId="348A67DE" w14:textId="77777777" w:rsidTr="00523A68">
              <w:trPr>
                <w:cantSplit/>
                <w:trHeight w:val="575"/>
                <w:jc w:val="center"/>
              </w:trPr>
              <w:tc>
                <w:tcPr>
                  <w:tcW w:w="2602" w:type="dxa"/>
                  <w:tcBorders>
                    <w:bottom w:val="single" w:sz="4" w:space="0" w:color="auto"/>
                  </w:tcBorders>
                  <w:shd w:val="pct20" w:color="auto" w:fill="auto"/>
                  <w:vAlign w:val="bottom"/>
                </w:tcPr>
                <w:p w14:paraId="26E651FB" w14:textId="7817CF40" w:rsidR="00AC10DD" w:rsidRPr="00AA14C6" w:rsidRDefault="00AC10DD" w:rsidP="00AC10DD">
                  <w:pPr>
                    <w:pStyle w:val="BodyText"/>
                    <w:spacing w:before="40" w:after="40"/>
                    <w:jc w:val="center"/>
                    <w:rPr>
                      <w:u w:val="single"/>
                    </w:rPr>
                  </w:pPr>
                  <w:r>
                    <w:t>Item</w:t>
                  </w:r>
                </w:p>
              </w:tc>
              <w:tc>
                <w:tcPr>
                  <w:tcW w:w="2124" w:type="dxa"/>
                  <w:tcBorders>
                    <w:bottom w:val="single" w:sz="4" w:space="0" w:color="auto"/>
                  </w:tcBorders>
                  <w:shd w:val="pct20" w:color="auto" w:fill="auto"/>
                  <w:vAlign w:val="bottom"/>
                </w:tcPr>
                <w:p w14:paraId="6CE3DB2E" w14:textId="2F3FD44C" w:rsidR="00AC10DD" w:rsidRPr="00AA14C6" w:rsidRDefault="00AC10DD" w:rsidP="00AC10DD">
                  <w:pPr>
                    <w:pStyle w:val="BodyText"/>
                    <w:spacing w:before="40" w:after="40"/>
                    <w:jc w:val="center"/>
                  </w:pPr>
                  <w:r>
                    <w:t>Description</w:t>
                  </w:r>
                </w:p>
              </w:tc>
              <w:tc>
                <w:tcPr>
                  <w:tcW w:w="2413" w:type="dxa"/>
                  <w:shd w:val="pct20" w:color="auto" w:fill="auto"/>
                  <w:vAlign w:val="bottom"/>
                </w:tcPr>
                <w:p w14:paraId="7C5C5B1C" w14:textId="7FE0DF4A" w:rsidR="00AC10DD" w:rsidRPr="00AA14C6" w:rsidRDefault="00AC10DD" w:rsidP="00AC10DD">
                  <w:pPr>
                    <w:pStyle w:val="BodyText"/>
                    <w:spacing w:before="40" w:after="40"/>
                    <w:jc w:val="center"/>
                  </w:pPr>
                  <w:proofErr w:type="spellStart"/>
                  <w:r>
                    <w:t>Derate</w:t>
                  </w:r>
                  <w:proofErr w:type="spellEnd"/>
                  <w:r>
                    <w:t xml:space="preserve"> (%)</w:t>
                  </w:r>
                </w:p>
              </w:tc>
              <w:tc>
                <w:tcPr>
                  <w:tcW w:w="2329" w:type="dxa"/>
                  <w:shd w:val="pct20" w:color="auto" w:fill="auto"/>
                  <w:vAlign w:val="bottom"/>
                </w:tcPr>
                <w:p w14:paraId="7E20347C" w14:textId="7153AA30" w:rsidR="00AC10DD" w:rsidRPr="00AA14C6" w:rsidRDefault="00AC10DD" w:rsidP="00AC10DD">
                  <w:pPr>
                    <w:pStyle w:val="BodyText"/>
                    <w:spacing w:before="40" w:after="40"/>
                    <w:jc w:val="center"/>
                  </w:pPr>
                  <w:r>
                    <w:t>Contractor guarantee (kWh/</w:t>
                  </w:r>
                  <w:proofErr w:type="spellStart"/>
                  <w:r>
                    <w:t>yr</w:t>
                  </w:r>
                  <w:proofErr w:type="spellEnd"/>
                  <w:r w:rsidR="008A5DBA">
                    <w:t xml:space="preserve"> 1</w:t>
                  </w:r>
                  <w:r>
                    <w:t>)</w:t>
                  </w:r>
                </w:p>
              </w:tc>
            </w:tr>
            <w:tr w:rsidR="00AC10DD" w:rsidRPr="00875A1B" w14:paraId="460D6A54" w14:textId="77777777" w:rsidTr="00523A68">
              <w:trPr>
                <w:cantSplit/>
                <w:trHeight w:val="270"/>
                <w:jc w:val="center"/>
              </w:trPr>
              <w:tc>
                <w:tcPr>
                  <w:tcW w:w="2602" w:type="dxa"/>
                </w:tcPr>
                <w:p w14:paraId="3CBF7C00" w14:textId="4D1EB46E" w:rsidR="00AC10DD" w:rsidRPr="00AA14C6" w:rsidRDefault="00A5698A" w:rsidP="00AC10DD">
                  <w:pPr>
                    <w:pStyle w:val="BodyText"/>
                    <w:spacing w:before="40" w:after="40"/>
                    <w:jc w:val="center"/>
                  </w:pPr>
                  <w:r>
                    <w:t>PVSYST model</w:t>
                  </w:r>
                </w:p>
              </w:tc>
              <w:tc>
                <w:tcPr>
                  <w:tcW w:w="2124" w:type="dxa"/>
                </w:tcPr>
                <w:p w14:paraId="1904E95D" w14:textId="77C12D1E" w:rsidR="00AC10DD" w:rsidRPr="00AA14C6" w:rsidRDefault="00A5698A" w:rsidP="00AC10DD">
                  <w:pPr>
                    <w:pStyle w:val="BodyText"/>
                    <w:spacing w:before="40" w:after="40"/>
                    <w:jc w:val="center"/>
                  </w:pPr>
                  <w:r>
                    <w:t>Contractor PVSYST model</w:t>
                  </w:r>
                </w:p>
              </w:tc>
              <w:tc>
                <w:tcPr>
                  <w:tcW w:w="2413" w:type="dxa"/>
                  <w:vAlign w:val="center"/>
                </w:tcPr>
                <w:p w14:paraId="6C7954B2" w14:textId="2260D236" w:rsidR="00AC10DD" w:rsidRPr="00AC2B0F" w:rsidRDefault="00A5698A" w:rsidP="00AC10DD">
                  <w:pPr>
                    <w:pStyle w:val="BodyText"/>
                    <w:spacing w:before="40" w:after="40"/>
                    <w:jc w:val="center"/>
                  </w:pPr>
                  <w:r>
                    <w:t>N/A</w:t>
                  </w:r>
                </w:p>
              </w:tc>
              <w:tc>
                <w:tcPr>
                  <w:tcW w:w="2329" w:type="dxa"/>
                  <w:vAlign w:val="center"/>
                </w:tcPr>
                <w:p w14:paraId="05B32E8C" w14:textId="30474070" w:rsidR="00AC10DD" w:rsidRPr="005A3F95" w:rsidRDefault="00A44D31" w:rsidP="00AC10DD">
                  <w:pPr>
                    <w:pStyle w:val="BodyText"/>
                    <w:spacing w:before="40" w:after="40"/>
                    <w:jc w:val="center"/>
                    <w:rPr>
                      <w:i/>
                    </w:rPr>
                  </w:pPr>
                  <w:r w:rsidRPr="005A3F95">
                    <w:rPr>
                      <w:i/>
                    </w:rPr>
                    <w:t>By Contractor</w:t>
                  </w:r>
                </w:p>
              </w:tc>
            </w:tr>
            <w:tr w:rsidR="00AC10DD" w:rsidRPr="00875A1B" w14:paraId="35D9E937" w14:textId="77777777" w:rsidTr="00523A68">
              <w:trPr>
                <w:cantSplit/>
                <w:trHeight w:val="270"/>
                <w:jc w:val="center"/>
              </w:trPr>
              <w:tc>
                <w:tcPr>
                  <w:tcW w:w="2602" w:type="dxa"/>
                </w:tcPr>
                <w:p w14:paraId="0BB4FE92" w14:textId="638DBB41" w:rsidR="00AC10DD" w:rsidRPr="00AA14C6" w:rsidRDefault="002452D9" w:rsidP="00AC10DD">
                  <w:pPr>
                    <w:pStyle w:val="BodyText"/>
                    <w:spacing w:before="40" w:after="40"/>
                    <w:jc w:val="center"/>
                  </w:pPr>
                  <w:r>
                    <w:t>(example)</w:t>
                  </w:r>
                </w:p>
              </w:tc>
              <w:tc>
                <w:tcPr>
                  <w:tcW w:w="2124" w:type="dxa"/>
                </w:tcPr>
                <w:p w14:paraId="3996E9A7" w14:textId="3133F416" w:rsidR="00AC10DD" w:rsidRPr="00AA14C6" w:rsidRDefault="00A5698A" w:rsidP="00AC10DD">
                  <w:pPr>
                    <w:pStyle w:val="BodyText"/>
                    <w:spacing w:before="40" w:after="40"/>
                    <w:jc w:val="center"/>
                  </w:pPr>
                  <w:r>
                    <w:t>Downtime</w:t>
                  </w:r>
                </w:p>
              </w:tc>
              <w:tc>
                <w:tcPr>
                  <w:tcW w:w="2413" w:type="dxa"/>
                  <w:vAlign w:val="center"/>
                </w:tcPr>
                <w:p w14:paraId="6D8E7180" w14:textId="75C3C5EE" w:rsidR="00AC10DD" w:rsidRPr="00AC2B0F" w:rsidRDefault="00F35029" w:rsidP="00AC10DD">
                  <w:pPr>
                    <w:pStyle w:val="BodyText"/>
                    <w:spacing w:before="40" w:after="40"/>
                    <w:jc w:val="center"/>
                  </w:pPr>
                  <w:r>
                    <w:rPr>
                      <w:i/>
                    </w:rPr>
                    <w:t>By Contractor</w:t>
                  </w:r>
                  <w:r w:rsidR="00A5698A">
                    <w:t>%</w:t>
                  </w:r>
                </w:p>
              </w:tc>
              <w:tc>
                <w:tcPr>
                  <w:tcW w:w="2329" w:type="dxa"/>
                  <w:vAlign w:val="center"/>
                </w:tcPr>
                <w:p w14:paraId="0CA5206F" w14:textId="18709CC7" w:rsidR="00AC10DD" w:rsidRPr="005A3F95" w:rsidRDefault="00A44D31" w:rsidP="00AC10DD">
                  <w:pPr>
                    <w:pStyle w:val="BodyText"/>
                    <w:spacing w:before="40" w:after="40"/>
                    <w:jc w:val="center"/>
                    <w:rPr>
                      <w:i/>
                    </w:rPr>
                  </w:pPr>
                  <w:r w:rsidRPr="005A3F95">
                    <w:rPr>
                      <w:i/>
                    </w:rPr>
                    <w:t>By Contractor</w:t>
                  </w:r>
                </w:p>
              </w:tc>
            </w:tr>
            <w:tr w:rsidR="00AC10DD" w:rsidRPr="00875A1B" w14:paraId="63E12782" w14:textId="77777777" w:rsidTr="00523A68">
              <w:trPr>
                <w:cantSplit/>
                <w:trHeight w:val="270"/>
                <w:jc w:val="center"/>
              </w:trPr>
              <w:tc>
                <w:tcPr>
                  <w:tcW w:w="2602" w:type="dxa"/>
                </w:tcPr>
                <w:p w14:paraId="03D4A0E0" w14:textId="22E350FC" w:rsidR="00AC10DD" w:rsidRPr="00AA14C6" w:rsidRDefault="002452D9" w:rsidP="00AC10DD">
                  <w:pPr>
                    <w:pStyle w:val="BodyText"/>
                    <w:spacing w:before="40" w:after="40"/>
                    <w:jc w:val="center"/>
                  </w:pPr>
                  <w:r>
                    <w:t>(example)</w:t>
                  </w:r>
                </w:p>
              </w:tc>
              <w:tc>
                <w:tcPr>
                  <w:tcW w:w="2124" w:type="dxa"/>
                </w:tcPr>
                <w:p w14:paraId="0F2C6634" w14:textId="6C95917F" w:rsidR="00AC10DD" w:rsidRPr="00AA14C6" w:rsidRDefault="00A5698A" w:rsidP="00AC10DD">
                  <w:pPr>
                    <w:pStyle w:val="BodyText"/>
                    <w:spacing w:before="40" w:after="40"/>
                    <w:jc w:val="center"/>
                  </w:pPr>
                  <w:r>
                    <w:t xml:space="preserve">Inverter temperature </w:t>
                  </w:r>
                  <w:proofErr w:type="spellStart"/>
                  <w:r>
                    <w:t>derate</w:t>
                  </w:r>
                  <w:proofErr w:type="spellEnd"/>
                </w:p>
              </w:tc>
              <w:tc>
                <w:tcPr>
                  <w:tcW w:w="2413" w:type="dxa"/>
                  <w:vAlign w:val="center"/>
                </w:tcPr>
                <w:p w14:paraId="35598E8A" w14:textId="728D3CB6" w:rsidR="00AC10DD" w:rsidRPr="00AC2B0F" w:rsidRDefault="00F35029" w:rsidP="00AC10DD">
                  <w:pPr>
                    <w:pStyle w:val="BodyText"/>
                    <w:spacing w:before="40" w:after="40"/>
                    <w:jc w:val="center"/>
                  </w:pPr>
                  <w:r>
                    <w:rPr>
                      <w:i/>
                    </w:rPr>
                    <w:t>By Contractor</w:t>
                  </w:r>
                  <w:r w:rsidR="00A5698A">
                    <w:t>%</w:t>
                  </w:r>
                </w:p>
              </w:tc>
              <w:tc>
                <w:tcPr>
                  <w:tcW w:w="2329" w:type="dxa"/>
                  <w:vAlign w:val="center"/>
                </w:tcPr>
                <w:p w14:paraId="47BE2012" w14:textId="65156011" w:rsidR="00AC10DD" w:rsidRPr="00F35029" w:rsidRDefault="00A44D31" w:rsidP="00AC10DD">
                  <w:pPr>
                    <w:pStyle w:val="BodyText"/>
                    <w:spacing w:before="40" w:after="40"/>
                    <w:jc w:val="center"/>
                    <w:rPr>
                      <w:i/>
                    </w:rPr>
                  </w:pPr>
                  <w:r>
                    <w:rPr>
                      <w:i/>
                    </w:rPr>
                    <w:t>By Contractor</w:t>
                  </w:r>
                </w:p>
              </w:tc>
            </w:tr>
            <w:tr w:rsidR="00AC10DD" w:rsidRPr="00875A1B" w14:paraId="1A60556E" w14:textId="77777777" w:rsidTr="00523A68">
              <w:trPr>
                <w:cantSplit/>
                <w:trHeight w:val="270"/>
                <w:jc w:val="center"/>
              </w:trPr>
              <w:tc>
                <w:tcPr>
                  <w:tcW w:w="2602" w:type="dxa"/>
                </w:tcPr>
                <w:p w14:paraId="4FB57F51" w14:textId="1A1B54A1" w:rsidR="00AC10DD" w:rsidRPr="00AA14C6" w:rsidRDefault="002452D9" w:rsidP="00AC10DD">
                  <w:pPr>
                    <w:pStyle w:val="BodyText"/>
                    <w:spacing w:before="40" w:after="40"/>
                    <w:jc w:val="center"/>
                  </w:pPr>
                  <w:r>
                    <w:t>(example)</w:t>
                  </w:r>
                </w:p>
              </w:tc>
              <w:tc>
                <w:tcPr>
                  <w:tcW w:w="2124" w:type="dxa"/>
                </w:tcPr>
                <w:p w14:paraId="00E21F25" w14:textId="05FD67C6" w:rsidR="00AC10DD" w:rsidRPr="00AA14C6" w:rsidRDefault="00A5698A" w:rsidP="00AC10DD">
                  <w:pPr>
                    <w:pStyle w:val="BodyText"/>
                    <w:spacing w:before="40" w:after="40"/>
                    <w:jc w:val="center"/>
                  </w:pPr>
                  <w:r>
                    <w:t>Measurement uncertainty</w:t>
                  </w:r>
                </w:p>
              </w:tc>
              <w:tc>
                <w:tcPr>
                  <w:tcW w:w="2413" w:type="dxa"/>
                  <w:vAlign w:val="center"/>
                </w:tcPr>
                <w:p w14:paraId="7DD18450" w14:textId="2F5EF8B2" w:rsidR="00AC10DD" w:rsidRPr="00AC2B0F" w:rsidRDefault="00F35029" w:rsidP="00AC10DD">
                  <w:pPr>
                    <w:pStyle w:val="BodyText"/>
                    <w:spacing w:before="40" w:after="40"/>
                    <w:jc w:val="center"/>
                  </w:pPr>
                  <w:r>
                    <w:rPr>
                      <w:i/>
                    </w:rPr>
                    <w:t>By Contractor</w:t>
                  </w:r>
                  <w:r w:rsidR="008A5DBA">
                    <w:t>%</w:t>
                  </w:r>
                </w:p>
              </w:tc>
              <w:tc>
                <w:tcPr>
                  <w:tcW w:w="2329" w:type="dxa"/>
                  <w:vAlign w:val="center"/>
                </w:tcPr>
                <w:p w14:paraId="69CDE1E7" w14:textId="001348CB" w:rsidR="00AC10DD" w:rsidRPr="005A3F95" w:rsidRDefault="00A44D31" w:rsidP="00AC10DD">
                  <w:pPr>
                    <w:pStyle w:val="BodyText"/>
                    <w:spacing w:before="40" w:after="40"/>
                    <w:jc w:val="center"/>
                    <w:rPr>
                      <w:i/>
                    </w:rPr>
                  </w:pPr>
                  <w:r>
                    <w:rPr>
                      <w:i/>
                    </w:rPr>
                    <w:t>By Contractor</w:t>
                  </w:r>
                </w:p>
              </w:tc>
            </w:tr>
            <w:tr w:rsidR="00F859D3" w:rsidRPr="00875A1B" w14:paraId="230E0557" w14:textId="77777777" w:rsidTr="00523A68">
              <w:trPr>
                <w:cantSplit/>
                <w:trHeight w:val="270"/>
                <w:jc w:val="center"/>
              </w:trPr>
              <w:tc>
                <w:tcPr>
                  <w:tcW w:w="2602" w:type="dxa"/>
                </w:tcPr>
                <w:p w14:paraId="58B0FF09" w14:textId="6BEF9127" w:rsidR="00F859D3" w:rsidRDefault="00F859D3" w:rsidP="00AC10DD">
                  <w:pPr>
                    <w:pStyle w:val="BodyText"/>
                    <w:spacing w:before="40" w:after="40"/>
                    <w:jc w:val="center"/>
                  </w:pPr>
                  <w:r>
                    <w:t>(example)</w:t>
                  </w:r>
                </w:p>
              </w:tc>
              <w:tc>
                <w:tcPr>
                  <w:tcW w:w="2124" w:type="dxa"/>
                </w:tcPr>
                <w:p w14:paraId="1934E612" w14:textId="56D844E2" w:rsidR="00F859D3" w:rsidRDefault="00F859D3" w:rsidP="00F859D3">
                  <w:pPr>
                    <w:pStyle w:val="BodyText"/>
                    <w:spacing w:before="40" w:after="40"/>
                    <w:jc w:val="center"/>
                  </w:pPr>
                  <w:r>
                    <w:t>Annual degradation (Year 1)</w:t>
                  </w:r>
                </w:p>
              </w:tc>
              <w:tc>
                <w:tcPr>
                  <w:tcW w:w="2413" w:type="dxa"/>
                  <w:vAlign w:val="center"/>
                </w:tcPr>
                <w:p w14:paraId="1D6B064D" w14:textId="697791C3" w:rsidR="00F859D3" w:rsidRDefault="00F35029" w:rsidP="00AC10DD">
                  <w:pPr>
                    <w:pStyle w:val="BodyText"/>
                    <w:spacing w:before="40" w:after="40"/>
                    <w:jc w:val="center"/>
                  </w:pPr>
                  <w:r>
                    <w:rPr>
                      <w:i/>
                    </w:rPr>
                    <w:t>By Contractor</w:t>
                  </w:r>
                  <w:r w:rsidR="00F859D3">
                    <w:t>%</w:t>
                  </w:r>
                </w:p>
              </w:tc>
              <w:tc>
                <w:tcPr>
                  <w:tcW w:w="2329" w:type="dxa"/>
                  <w:vAlign w:val="center"/>
                </w:tcPr>
                <w:p w14:paraId="2DDD6F92" w14:textId="60D0C7F8" w:rsidR="00F859D3" w:rsidRPr="00F35029" w:rsidRDefault="00A44D31" w:rsidP="00B6623B">
                  <w:pPr>
                    <w:pStyle w:val="BodyText"/>
                    <w:spacing w:before="40" w:after="40"/>
                    <w:jc w:val="center"/>
                    <w:rPr>
                      <w:i/>
                    </w:rPr>
                  </w:pPr>
                  <w:r>
                    <w:rPr>
                      <w:i/>
                    </w:rPr>
                    <w:t>By Contractor</w:t>
                  </w:r>
                </w:p>
              </w:tc>
            </w:tr>
            <w:tr w:rsidR="00AC10DD" w:rsidRPr="00875A1B" w14:paraId="4977A1B4" w14:textId="77777777" w:rsidTr="00523A68">
              <w:trPr>
                <w:cantSplit/>
                <w:trHeight w:val="270"/>
                <w:jc w:val="center"/>
              </w:trPr>
              <w:tc>
                <w:tcPr>
                  <w:tcW w:w="2602" w:type="dxa"/>
                  <w:tcBorders>
                    <w:bottom w:val="single" w:sz="4" w:space="0" w:color="auto"/>
                  </w:tcBorders>
                </w:tcPr>
                <w:p w14:paraId="7CBA0FC2" w14:textId="2E186458" w:rsidR="00AC10DD" w:rsidRPr="00AA14C6" w:rsidRDefault="00F859D3" w:rsidP="00AC10DD">
                  <w:pPr>
                    <w:pStyle w:val="BodyText"/>
                    <w:spacing w:before="40" w:after="40"/>
                    <w:jc w:val="center"/>
                  </w:pPr>
                  <w:r>
                    <w:t>Modeled Energy Output</w:t>
                  </w:r>
                  <w:r w:rsidR="00A5698A">
                    <w:t xml:space="preserve"> </w:t>
                  </w:r>
                </w:p>
              </w:tc>
              <w:tc>
                <w:tcPr>
                  <w:tcW w:w="2124" w:type="dxa"/>
                  <w:tcBorders>
                    <w:bottom w:val="single" w:sz="4" w:space="0" w:color="auto"/>
                  </w:tcBorders>
                </w:tcPr>
                <w:p w14:paraId="08FB8B87" w14:textId="540B9CDB" w:rsidR="00AC10DD" w:rsidRPr="00AA14C6" w:rsidRDefault="00AC10DD" w:rsidP="00AC10DD">
                  <w:pPr>
                    <w:pStyle w:val="BodyText"/>
                    <w:spacing w:before="40" w:after="40"/>
                    <w:jc w:val="center"/>
                  </w:pPr>
                </w:p>
              </w:tc>
              <w:tc>
                <w:tcPr>
                  <w:tcW w:w="2413" w:type="dxa"/>
                  <w:tcBorders>
                    <w:bottom w:val="single" w:sz="4" w:space="0" w:color="auto"/>
                  </w:tcBorders>
                  <w:vAlign w:val="center"/>
                </w:tcPr>
                <w:p w14:paraId="35246BDF" w14:textId="5E9FBAEE" w:rsidR="00AC10DD" w:rsidRPr="00AC2B0F" w:rsidRDefault="00AC10DD" w:rsidP="00AC10DD">
                  <w:pPr>
                    <w:pStyle w:val="BodyText"/>
                    <w:spacing w:before="40" w:after="40"/>
                    <w:jc w:val="center"/>
                  </w:pPr>
                </w:p>
              </w:tc>
              <w:tc>
                <w:tcPr>
                  <w:tcW w:w="2329" w:type="dxa"/>
                  <w:tcBorders>
                    <w:bottom w:val="single" w:sz="4" w:space="0" w:color="auto"/>
                  </w:tcBorders>
                  <w:vAlign w:val="center"/>
                </w:tcPr>
                <w:p w14:paraId="514B1BD5" w14:textId="55B17A79" w:rsidR="00AC10DD" w:rsidRPr="00F35029" w:rsidRDefault="00A44D31" w:rsidP="00B6623B">
                  <w:pPr>
                    <w:pStyle w:val="BodyText"/>
                    <w:spacing w:before="40" w:after="40"/>
                    <w:jc w:val="center"/>
                    <w:rPr>
                      <w:i/>
                    </w:rPr>
                  </w:pPr>
                  <w:r>
                    <w:rPr>
                      <w:i/>
                    </w:rPr>
                    <w:t>By Contractor</w:t>
                  </w:r>
                </w:p>
              </w:tc>
            </w:tr>
          </w:tbl>
          <w:p w14:paraId="7F2B22AD" w14:textId="77777777" w:rsidR="00AC10DD" w:rsidRPr="00D64555" w:rsidRDefault="00AC10DD" w:rsidP="00B97926">
            <w:pPr>
              <w:pStyle w:val="BodyText"/>
              <w:spacing w:after="120"/>
            </w:pPr>
          </w:p>
          <w:p w14:paraId="203E81FA" w14:textId="1DE49119" w:rsidR="00CF5700" w:rsidRPr="00D64555" w:rsidRDefault="00CF5700" w:rsidP="00B97926">
            <w:pPr>
              <w:pStyle w:val="BodyText"/>
              <w:spacing w:after="120"/>
            </w:pPr>
            <w:r w:rsidRPr="00D64555">
              <w:t xml:space="preserve">If the Plant is not fully operational during any period in a Measurement Period due to a Force Majeure Event, provided Contractor has complied with the conditions and requirements of the Agreement in respect of that Force Majeure Event, the modeled energy output of the Plant for that Measurement Period will be reduced in accordance with the following </w:t>
            </w:r>
            <w:r w:rsidR="00B97926">
              <w:t>approach</w:t>
            </w:r>
            <w:r w:rsidRPr="00D64555">
              <w:t>:</w:t>
            </w:r>
          </w:p>
          <w:p w14:paraId="190D184F" w14:textId="649F2540" w:rsidR="00CF5700" w:rsidRPr="00D64555" w:rsidRDefault="00CF5700" w:rsidP="00B97926">
            <w:pPr>
              <w:pStyle w:val="BodyText"/>
              <w:spacing w:after="120"/>
            </w:pPr>
          </w:p>
          <w:p w14:paraId="266A42ED" w14:textId="77777777" w:rsidR="00CF5700" w:rsidRPr="00D64555" w:rsidRDefault="00CF5700" w:rsidP="00B97926">
            <w:pPr>
              <w:pStyle w:val="BodyText"/>
              <w:spacing w:after="120"/>
            </w:pPr>
            <w:r w:rsidRPr="00D64555">
              <w:t>where:</w:t>
            </w:r>
          </w:p>
        </w:tc>
      </w:tr>
      <w:tr w:rsidR="00CF5700" w:rsidRPr="00D64555" w14:paraId="6D458899" w14:textId="77777777" w:rsidTr="005A3F95">
        <w:trPr>
          <w:trHeight w:val="422"/>
        </w:trPr>
        <w:tc>
          <w:tcPr>
            <w:tcW w:w="1260" w:type="dxa"/>
            <w:tcBorders>
              <w:top w:val="single" w:sz="4" w:space="0" w:color="auto"/>
            </w:tcBorders>
          </w:tcPr>
          <w:p w14:paraId="0170DE1E" w14:textId="34DE3631" w:rsidR="00CF5700" w:rsidRPr="00D64555" w:rsidRDefault="00CF5700" w:rsidP="00B97926">
            <w:pPr>
              <w:pStyle w:val="BodyText"/>
            </w:pPr>
          </w:p>
        </w:tc>
        <w:tc>
          <w:tcPr>
            <w:tcW w:w="450" w:type="dxa"/>
            <w:tcBorders>
              <w:top w:val="single" w:sz="4" w:space="0" w:color="auto"/>
            </w:tcBorders>
          </w:tcPr>
          <w:p w14:paraId="6205D081" w14:textId="77777777" w:rsidR="00CF5700" w:rsidRPr="00D64555" w:rsidRDefault="00CF5700" w:rsidP="00B97926">
            <w:pPr>
              <w:pStyle w:val="BodyText"/>
            </w:pPr>
          </w:p>
        </w:tc>
        <w:tc>
          <w:tcPr>
            <w:tcW w:w="1530" w:type="dxa"/>
            <w:tcBorders>
              <w:top w:val="single" w:sz="4" w:space="0" w:color="auto"/>
            </w:tcBorders>
          </w:tcPr>
          <w:p w14:paraId="141CDA21" w14:textId="77777777" w:rsidR="00CF5700" w:rsidRPr="00D64555" w:rsidRDefault="00CF5700" w:rsidP="00B97926">
            <w:pPr>
              <w:pStyle w:val="BodyText"/>
              <w:rPr>
                <w:i/>
              </w:rPr>
            </w:pPr>
            <w:r w:rsidRPr="00D64555">
              <w:rPr>
                <w:i/>
              </w:rPr>
              <w:t>n</w:t>
            </w:r>
          </w:p>
        </w:tc>
        <w:tc>
          <w:tcPr>
            <w:tcW w:w="777" w:type="dxa"/>
            <w:tcBorders>
              <w:top w:val="single" w:sz="4" w:space="0" w:color="auto"/>
            </w:tcBorders>
          </w:tcPr>
          <w:p w14:paraId="31E8ED32" w14:textId="77777777" w:rsidR="00CF5700" w:rsidRPr="00D64555" w:rsidRDefault="00CF5700" w:rsidP="00B97926">
            <w:pPr>
              <w:pStyle w:val="BodyText"/>
            </w:pPr>
            <w:r w:rsidRPr="00D64555">
              <w:t>=</w:t>
            </w:r>
          </w:p>
        </w:tc>
        <w:tc>
          <w:tcPr>
            <w:tcW w:w="4731" w:type="dxa"/>
            <w:tcBorders>
              <w:top w:val="single" w:sz="4" w:space="0" w:color="auto"/>
            </w:tcBorders>
          </w:tcPr>
          <w:p w14:paraId="4FE05C66" w14:textId="77777777" w:rsidR="00CF5700" w:rsidRPr="00D64555" w:rsidRDefault="00CF5700" w:rsidP="009C5366">
            <w:pPr>
              <w:pStyle w:val="BodyText"/>
            </w:pPr>
            <w:r w:rsidRPr="00D64555">
              <w:t xml:space="preserve">The percentage of the Plant (on a DC nameplate basis) affected by the applicable Force Majeure Event, as agreed between the Parties or, if the Parties are unable to reach agreement, as determined by </w:t>
            </w:r>
            <w:r w:rsidR="009C5366">
              <w:t>the</w:t>
            </w:r>
            <w:r w:rsidRPr="00D64555">
              <w:t xml:space="preserve"> </w:t>
            </w:r>
            <w:r w:rsidR="009C5366">
              <w:t>I</w:t>
            </w:r>
            <w:r w:rsidRPr="00D64555">
              <w:t xml:space="preserve">ndependent </w:t>
            </w:r>
            <w:r w:rsidR="009C5366">
              <w:t>E</w:t>
            </w:r>
            <w:r w:rsidRPr="00D64555">
              <w:t>ngineer.</w:t>
            </w:r>
          </w:p>
        </w:tc>
      </w:tr>
      <w:tr w:rsidR="00CF5700" w:rsidRPr="00D64555" w14:paraId="3F23AE5F" w14:textId="77777777" w:rsidTr="00523A68">
        <w:trPr>
          <w:cantSplit/>
          <w:trHeight w:val="422"/>
        </w:trPr>
        <w:tc>
          <w:tcPr>
            <w:tcW w:w="1260" w:type="dxa"/>
          </w:tcPr>
          <w:p w14:paraId="1F9643BB" w14:textId="77777777" w:rsidR="00CF5700" w:rsidRPr="00D64555" w:rsidRDefault="00CF5700" w:rsidP="00B97926">
            <w:pPr>
              <w:pStyle w:val="BodyText"/>
            </w:pPr>
          </w:p>
        </w:tc>
        <w:tc>
          <w:tcPr>
            <w:tcW w:w="450" w:type="dxa"/>
          </w:tcPr>
          <w:p w14:paraId="62B11102" w14:textId="77777777" w:rsidR="00CF5700" w:rsidRPr="00D64555" w:rsidRDefault="00CF5700" w:rsidP="00B97926">
            <w:pPr>
              <w:pStyle w:val="BodyText"/>
            </w:pPr>
          </w:p>
        </w:tc>
        <w:tc>
          <w:tcPr>
            <w:tcW w:w="1530" w:type="dxa"/>
          </w:tcPr>
          <w:p w14:paraId="3DE65CC8" w14:textId="77777777" w:rsidR="00CF5700" w:rsidRPr="00D64555" w:rsidRDefault="00CF5700" w:rsidP="00B97926">
            <w:pPr>
              <w:pStyle w:val="BodyText"/>
            </w:pPr>
            <w:r>
              <w:rPr>
                <w:noProof/>
                <w:position w:val="-14"/>
              </w:rPr>
              <w:drawing>
                <wp:inline distT="0" distB="0" distL="0" distR="0" wp14:anchorId="45F6C98C" wp14:editId="279EDDD2">
                  <wp:extent cx="593090" cy="263525"/>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3090" cy="263525"/>
                          </a:xfrm>
                          <a:prstGeom prst="rect">
                            <a:avLst/>
                          </a:prstGeom>
                          <a:noFill/>
                          <a:ln w="9525">
                            <a:noFill/>
                            <a:miter lim="800000"/>
                            <a:headEnd/>
                            <a:tailEnd/>
                          </a:ln>
                        </pic:spPr>
                      </pic:pic>
                    </a:graphicData>
                  </a:graphic>
                </wp:inline>
              </w:drawing>
            </w:r>
          </w:p>
        </w:tc>
        <w:tc>
          <w:tcPr>
            <w:tcW w:w="777" w:type="dxa"/>
          </w:tcPr>
          <w:p w14:paraId="49824371" w14:textId="77777777" w:rsidR="00CF5700" w:rsidRPr="00D64555" w:rsidRDefault="00CF5700" w:rsidP="00B97926">
            <w:pPr>
              <w:pStyle w:val="BodyText"/>
            </w:pPr>
            <w:r w:rsidRPr="00D64555">
              <w:t>=</w:t>
            </w:r>
          </w:p>
        </w:tc>
        <w:tc>
          <w:tcPr>
            <w:tcW w:w="4731" w:type="dxa"/>
          </w:tcPr>
          <w:p w14:paraId="25621746" w14:textId="77777777" w:rsidR="00CF5700" w:rsidRPr="00D64555" w:rsidRDefault="00CF5700" w:rsidP="00B97926">
            <w:pPr>
              <w:pStyle w:val="BodyText"/>
            </w:pPr>
            <w:r w:rsidRPr="00D64555">
              <w:t>The actual irradiance, in W/m</w:t>
            </w:r>
            <w:r w:rsidRPr="00D64555">
              <w:rPr>
                <w:vertAlign w:val="superscript"/>
              </w:rPr>
              <w:t>2</w:t>
            </w:r>
            <w:r w:rsidRPr="00D64555">
              <w:t xml:space="preserve">, measured in the Plane of the Array using the meteorological station and communicated via the onsite SCADA system during the period in the relevant Measurement Period in which the Plant, or agreed percentage of the Plant, is not fully operational due to the applicable Force Majeure Event, as agreed between the Parties or, if the Parties are unable to reach agreement, as determined by the Independent Engineer. </w:t>
            </w:r>
          </w:p>
        </w:tc>
      </w:tr>
      <w:tr w:rsidR="00CF5700" w:rsidRPr="00D64555" w14:paraId="13A6DCD8" w14:textId="77777777" w:rsidTr="00CC487E">
        <w:trPr>
          <w:cantSplit/>
          <w:trHeight w:val="422"/>
        </w:trPr>
        <w:tc>
          <w:tcPr>
            <w:tcW w:w="1260" w:type="dxa"/>
          </w:tcPr>
          <w:p w14:paraId="56E55976" w14:textId="77777777" w:rsidR="00CF5700" w:rsidRPr="00D64555" w:rsidRDefault="00CF5700" w:rsidP="00B97926">
            <w:pPr>
              <w:pStyle w:val="BodyText"/>
            </w:pPr>
          </w:p>
        </w:tc>
        <w:tc>
          <w:tcPr>
            <w:tcW w:w="450" w:type="dxa"/>
          </w:tcPr>
          <w:p w14:paraId="37A5F3BC" w14:textId="77777777" w:rsidR="00CF5700" w:rsidRPr="00D64555" w:rsidRDefault="00CF5700" w:rsidP="00B97926">
            <w:pPr>
              <w:pStyle w:val="BodyText"/>
            </w:pPr>
          </w:p>
        </w:tc>
        <w:tc>
          <w:tcPr>
            <w:tcW w:w="7038" w:type="dxa"/>
            <w:gridSpan w:val="3"/>
          </w:tcPr>
          <w:p w14:paraId="74845467" w14:textId="77777777" w:rsidR="00CF5700" w:rsidRPr="00D64555" w:rsidRDefault="00CF5700" w:rsidP="009C5366">
            <w:pPr>
              <w:pStyle w:val="BodyText"/>
            </w:pPr>
            <w:r w:rsidRPr="00D64555">
              <w:t xml:space="preserve">If the Parties are unable to agree on an appropriate reduction to the modeled energy output of the Plant for that Measurement Period, an appropriate reduction to the modeled energy output of the Plant for that Measurement Period will be determined by </w:t>
            </w:r>
            <w:r w:rsidR="009C5366">
              <w:t>the I</w:t>
            </w:r>
            <w:r w:rsidRPr="00D64555">
              <w:t xml:space="preserve">ndependent </w:t>
            </w:r>
            <w:r w:rsidR="009C5366">
              <w:t>E</w:t>
            </w:r>
            <w:r w:rsidRPr="00D64555">
              <w:t>ngineer, and such determination shall be binding on the Parties.</w:t>
            </w:r>
          </w:p>
        </w:tc>
      </w:tr>
      <w:tr w:rsidR="00CF5700" w:rsidRPr="00D64555" w14:paraId="2C1A86E3" w14:textId="77777777" w:rsidTr="00CC487E">
        <w:trPr>
          <w:cantSplit/>
          <w:trHeight w:val="422"/>
        </w:trPr>
        <w:tc>
          <w:tcPr>
            <w:tcW w:w="1260" w:type="dxa"/>
          </w:tcPr>
          <w:p w14:paraId="037313D4" w14:textId="77777777" w:rsidR="00CF5700" w:rsidRPr="00D64555" w:rsidRDefault="00CF5700" w:rsidP="00B97926">
            <w:pPr>
              <w:pStyle w:val="BodyText"/>
            </w:pPr>
            <w:r>
              <w:rPr>
                <w:noProof/>
                <w:position w:val="-12"/>
              </w:rPr>
              <w:drawing>
                <wp:inline distT="0" distB="0" distL="0" distR="0" wp14:anchorId="71F2F04A" wp14:editId="0FF946CA">
                  <wp:extent cx="428625" cy="255270"/>
                  <wp:effectExtent l="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28625" cy="255270"/>
                          </a:xfrm>
                          <a:prstGeom prst="rect">
                            <a:avLst/>
                          </a:prstGeom>
                          <a:noFill/>
                          <a:ln w="9525">
                            <a:noFill/>
                            <a:miter lim="800000"/>
                            <a:headEnd/>
                            <a:tailEnd/>
                          </a:ln>
                        </pic:spPr>
                      </pic:pic>
                    </a:graphicData>
                  </a:graphic>
                </wp:inline>
              </w:drawing>
            </w:r>
          </w:p>
        </w:tc>
        <w:tc>
          <w:tcPr>
            <w:tcW w:w="450" w:type="dxa"/>
          </w:tcPr>
          <w:p w14:paraId="70CC58D2" w14:textId="77777777" w:rsidR="00CF5700" w:rsidRPr="00D64555" w:rsidRDefault="00CF5700" w:rsidP="00B97926">
            <w:pPr>
              <w:pStyle w:val="BodyText"/>
            </w:pPr>
            <w:r w:rsidRPr="00D64555">
              <w:t>=</w:t>
            </w:r>
          </w:p>
        </w:tc>
        <w:tc>
          <w:tcPr>
            <w:tcW w:w="7038" w:type="dxa"/>
            <w:gridSpan w:val="3"/>
          </w:tcPr>
          <w:p w14:paraId="6A7861F4" w14:textId="4864F8CB" w:rsidR="00CF5700" w:rsidRPr="00D64555" w:rsidRDefault="00CF5700" w:rsidP="00B97926">
            <w:pPr>
              <w:pStyle w:val="BodyText"/>
              <w:spacing w:after="120"/>
            </w:pPr>
            <w:r w:rsidRPr="00D64555">
              <w:t>The actual irradiance, in W/m</w:t>
            </w:r>
            <w:r w:rsidRPr="00D64555">
              <w:rPr>
                <w:vertAlign w:val="superscript"/>
              </w:rPr>
              <w:t>2</w:t>
            </w:r>
            <w:r w:rsidRPr="00D64555">
              <w:t xml:space="preserve">, measured in the </w:t>
            </w:r>
            <w:r w:rsidR="00A5698A">
              <w:t xml:space="preserve">horizontal plane </w:t>
            </w:r>
            <w:r w:rsidRPr="00D64555">
              <w:t>using the meteorological station and communicated via the onsite SCADA system during the relevant Measurement Period.</w:t>
            </w:r>
          </w:p>
          <w:p w14:paraId="2752BC9C" w14:textId="02D6D417" w:rsidR="00CF5700" w:rsidRPr="00D64555" w:rsidRDefault="00CF5700" w:rsidP="00F859D3">
            <w:pPr>
              <w:pStyle w:val="BodyText"/>
            </w:pPr>
            <w:r w:rsidRPr="00D64555">
              <w:t>In the event of hardware, communication, or other failure with the meteorological system, Contractor will make commercially reasonable efforts to resolve the issue in a timely manner. In the event meteorological data is lost due to hardware, communication, or other failure with the SCADA system, Owner will substitute meteorological data from a nearby meteorological station that Owner, in its discretion, selects for such purpose. In the event Owner reasonably believes that data produced by the meteorological system is inaccurate, Owner shall be permitted to substitute meteorological data from a nearby meteorological station that Owner, in its discretion, selects for such purpose and/or, by notice to Contractor, take over operation and maintenance of the meteorological system on a temporary or permanent basis.</w:t>
            </w:r>
            <w:r w:rsidR="006F2673">
              <w:t xml:space="preserve"> If suitable alternate </w:t>
            </w:r>
            <w:r w:rsidR="002975ED">
              <w:t xml:space="preserve">weather </w:t>
            </w:r>
            <w:r w:rsidR="006F2673">
              <w:t xml:space="preserve">data cannot be obtained, Owner will reduce the hours/days </w:t>
            </w:r>
            <w:r w:rsidR="00DE2F5B">
              <w:t xml:space="preserve">of </w:t>
            </w:r>
            <w:r w:rsidR="00F859D3">
              <w:t>missing/</w:t>
            </w:r>
            <w:r w:rsidR="00DE2F5B">
              <w:t xml:space="preserve">bad data </w:t>
            </w:r>
            <w:r w:rsidR="006F2673">
              <w:t xml:space="preserve">from the </w:t>
            </w:r>
            <w:r w:rsidR="00DE2F5B">
              <w:t xml:space="preserve">Weather-Adjusted Expected Plant Output and </w:t>
            </w:r>
            <w:r w:rsidR="00F859D3">
              <w:t>M</w:t>
            </w:r>
            <w:r w:rsidR="00DE2F5B">
              <w:t xml:space="preserve">odeled </w:t>
            </w:r>
            <w:r w:rsidR="00F859D3">
              <w:t>E</w:t>
            </w:r>
            <w:r w:rsidR="00DE2F5B">
              <w:t xml:space="preserve">nergy </w:t>
            </w:r>
            <w:r w:rsidR="00F859D3">
              <w:t>O</w:t>
            </w:r>
            <w:r w:rsidR="00DE2F5B">
              <w:t>utput</w:t>
            </w:r>
            <w:r w:rsidR="006F2673">
              <w:t xml:space="preserve"> (</w:t>
            </w:r>
            <w:r w:rsidR="00DE2F5B" w:rsidRPr="00AA14C6">
              <w:t>E</w:t>
            </w:r>
            <w:r w:rsidR="00DE2F5B" w:rsidRPr="00AA14C6">
              <w:rPr>
                <w:vertAlign w:val="subscript"/>
              </w:rPr>
              <w:t>EXP</w:t>
            </w:r>
            <w:r w:rsidR="00DE2F5B" w:rsidRPr="00AA14C6">
              <w:rPr>
                <w:vertAlign w:val="superscript"/>
              </w:rPr>
              <w:t>MP</w:t>
            </w:r>
            <w:r w:rsidR="006F2673">
              <w:t xml:space="preserve"> and </w:t>
            </w:r>
            <w:r w:rsidR="00DE2F5B">
              <w:t>E</w:t>
            </w:r>
            <w:r w:rsidR="00DE2F5B">
              <w:rPr>
                <w:vertAlign w:val="subscript"/>
              </w:rPr>
              <w:t>M</w:t>
            </w:r>
            <w:r w:rsidR="00DE2F5B" w:rsidRPr="00B6623B">
              <w:rPr>
                <w:vertAlign w:val="superscript"/>
              </w:rPr>
              <w:t>MP</w:t>
            </w:r>
            <w:r w:rsidR="006F2673">
              <w:t>).</w:t>
            </w:r>
          </w:p>
        </w:tc>
      </w:tr>
      <w:tr w:rsidR="00CF5700" w:rsidRPr="00D64555" w14:paraId="491F097E" w14:textId="77777777" w:rsidTr="00CC487E">
        <w:trPr>
          <w:cantSplit/>
          <w:trHeight w:val="422"/>
        </w:trPr>
        <w:tc>
          <w:tcPr>
            <w:tcW w:w="1260" w:type="dxa"/>
          </w:tcPr>
          <w:p w14:paraId="10B5809E" w14:textId="77777777" w:rsidR="00CF5700" w:rsidRPr="00D64555" w:rsidRDefault="00CF5700" w:rsidP="00B97926">
            <w:pPr>
              <w:pStyle w:val="BodyText"/>
            </w:pPr>
            <w:r>
              <w:rPr>
                <w:noProof/>
                <w:position w:val="-10"/>
              </w:rPr>
              <w:drawing>
                <wp:inline distT="0" distB="0" distL="0" distR="0" wp14:anchorId="691D6941" wp14:editId="285BD375">
                  <wp:extent cx="346075" cy="23876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46075" cy="238760"/>
                          </a:xfrm>
                          <a:prstGeom prst="rect">
                            <a:avLst/>
                          </a:prstGeom>
                          <a:noFill/>
                          <a:ln w="9525">
                            <a:noFill/>
                            <a:miter lim="800000"/>
                            <a:headEnd/>
                            <a:tailEnd/>
                          </a:ln>
                        </pic:spPr>
                      </pic:pic>
                    </a:graphicData>
                  </a:graphic>
                </wp:inline>
              </w:drawing>
            </w:r>
          </w:p>
        </w:tc>
        <w:tc>
          <w:tcPr>
            <w:tcW w:w="450" w:type="dxa"/>
          </w:tcPr>
          <w:p w14:paraId="1E13F22F" w14:textId="77777777" w:rsidR="00CF5700" w:rsidRPr="00D64555" w:rsidRDefault="00CF5700" w:rsidP="00B97926">
            <w:pPr>
              <w:pStyle w:val="BodyText"/>
            </w:pPr>
            <w:r w:rsidRPr="00D64555">
              <w:t>=</w:t>
            </w:r>
          </w:p>
        </w:tc>
        <w:tc>
          <w:tcPr>
            <w:tcW w:w="7038" w:type="dxa"/>
            <w:gridSpan w:val="3"/>
          </w:tcPr>
          <w:p w14:paraId="7E3EC52B" w14:textId="650F8B7C" w:rsidR="00CF5700" w:rsidRPr="00D64555" w:rsidRDefault="00CF5700" w:rsidP="00A5698A">
            <w:pPr>
              <w:pStyle w:val="BodyText"/>
            </w:pPr>
            <w:r w:rsidRPr="00D64555">
              <w:t>The modeled irradiance, in W/m</w:t>
            </w:r>
            <w:r w:rsidRPr="00D64555">
              <w:rPr>
                <w:vertAlign w:val="superscript"/>
              </w:rPr>
              <w:t>2</w:t>
            </w:r>
            <w:r w:rsidRPr="00D64555">
              <w:t xml:space="preserve">, measured in the </w:t>
            </w:r>
            <w:r w:rsidR="00A5698A">
              <w:t>horizontal plane</w:t>
            </w:r>
            <w:r w:rsidRPr="00D64555">
              <w:t xml:space="preserve">, upon which the modeled energy output for each Measurement Period is based as set out in </w:t>
            </w:r>
            <w:r w:rsidRPr="008541CF">
              <w:t xml:space="preserve">Table </w:t>
            </w:r>
            <w:r w:rsidR="00EA3B6F">
              <w:t>2</w:t>
            </w:r>
            <w:r w:rsidRPr="00D64555">
              <w:t xml:space="preserve"> below.</w:t>
            </w:r>
          </w:p>
        </w:tc>
      </w:tr>
    </w:tbl>
    <w:p w14:paraId="70F0CB0C" w14:textId="77777777" w:rsidR="00CC487E" w:rsidRDefault="00CC487E" w:rsidP="00CF5700">
      <w:pPr>
        <w:pStyle w:val="BodyText"/>
      </w:pPr>
    </w:p>
    <w:p w14:paraId="46BBFED0" w14:textId="77777777" w:rsidR="00CF5700" w:rsidRPr="00AA14C6" w:rsidRDefault="00CF5700" w:rsidP="00CF5700">
      <w:pPr>
        <w:pStyle w:val="BodyText"/>
      </w:pPr>
      <w:r w:rsidRPr="00AA14C6">
        <w:t>“</w:t>
      </w:r>
      <w:r w:rsidRPr="00AA14C6">
        <w:rPr>
          <w:u w:val="single"/>
        </w:rPr>
        <w:t>Measurement Period</w:t>
      </w:r>
      <w:r>
        <w:t>” means the m</w:t>
      </w:r>
      <w:r w:rsidRPr="00AA14C6">
        <w:t xml:space="preserve">easurement period during each Performance Guarantee </w:t>
      </w:r>
      <w:r>
        <w:t>Period</w:t>
      </w:r>
      <w:r w:rsidRPr="00AA14C6">
        <w:t>.</w:t>
      </w:r>
    </w:p>
    <w:p w14:paraId="352B5BD0" w14:textId="77777777" w:rsidR="00CF5700" w:rsidRPr="00AA14C6" w:rsidRDefault="00CF5700" w:rsidP="00CF5700">
      <w:pPr>
        <w:pStyle w:val="BodyText"/>
      </w:pPr>
      <w:r w:rsidRPr="00AA14C6">
        <w:lastRenderedPageBreak/>
        <w:t>“</w:t>
      </w:r>
      <w:r w:rsidRPr="00AA14C6">
        <w:rPr>
          <w:u w:val="single"/>
        </w:rPr>
        <w:t xml:space="preserve">Performance Guarantee </w:t>
      </w:r>
      <w:r>
        <w:rPr>
          <w:u w:val="single"/>
        </w:rPr>
        <w:t>Period</w:t>
      </w:r>
      <w:r w:rsidRPr="00AA14C6">
        <w:t>” means each of the five consecutive 365</w:t>
      </w:r>
      <w:r>
        <w:t>-</w:t>
      </w:r>
      <w:r w:rsidRPr="00AA14C6">
        <w:t>day periods</w:t>
      </w:r>
      <w:r w:rsidR="009C5366">
        <w:t xml:space="preserve"> (366 days during leap years)</w:t>
      </w:r>
      <w:r w:rsidRPr="00AA14C6">
        <w:t xml:space="preserve">, the first of which commences on the </w:t>
      </w:r>
      <w:r>
        <w:t>Final Acceptance</w:t>
      </w:r>
      <w:r w:rsidRPr="00AA14C6">
        <w:t xml:space="preserve"> Date and the last of which expires on the final day of the </w:t>
      </w:r>
      <w:r>
        <w:t xml:space="preserve">fifth </w:t>
      </w:r>
      <w:r w:rsidRPr="00AA14C6">
        <w:t xml:space="preserve">Performance Guarantee Period. </w:t>
      </w:r>
    </w:p>
    <w:p w14:paraId="269361CD" w14:textId="077C0385" w:rsidR="00CF5700" w:rsidRPr="00AA14C6" w:rsidRDefault="00AD4059" w:rsidP="00CF5700">
      <w:pPr>
        <w:pStyle w:val="BodyText"/>
      </w:pPr>
      <w:r w:rsidRPr="00AA14C6" w:rsidDel="00AD4059">
        <w:t xml:space="preserve"> </w:t>
      </w:r>
      <w:r w:rsidR="00CF5700" w:rsidRPr="00AA14C6">
        <w:t>“</w:t>
      </w:r>
      <w:r w:rsidR="00CF5700" w:rsidRPr="00AA14C6">
        <w:rPr>
          <w:u w:val="single"/>
        </w:rPr>
        <w:t>Delivery Point</w:t>
      </w:r>
      <w:r w:rsidR="00CF5700" w:rsidRPr="00AA14C6">
        <w:t xml:space="preserve">” means the point at which the electrical energy output of the </w:t>
      </w:r>
      <w:r w:rsidR="00CF5700">
        <w:t>Plant</w:t>
      </w:r>
      <w:r w:rsidR="00CF5700" w:rsidRPr="00AA14C6">
        <w:t xml:space="preserve"> is measured.</w:t>
      </w:r>
      <w:r w:rsidR="00CF5700">
        <w:t xml:space="preserve"> </w:t>
      </w:r>
      <w:r w:rsidR="00CF5700" w:rsidRPr="00AA14C6">
        <w:t xml:space="preserve">Note that metering may be calibrated to determine the amount of electrical energy delivered at a Delivery Point that is different than the meter physical location. </w:t>
      </w:r>
    </w:p>
    <w:p w14:paraId="7F1BC904" w14:textId="77777777" w:rsidR="00FA3786" w:rsidRDefault="00FA3786" w:rsidP="00CF5700">
      <w:pPr>
        <w:pStyle w:val="BodyText"/>
        <w:rPr>
          <w:b/>
        </w:rPr>
      </w:pPr>
      <w:r>
        <w:rPr>
          <w:b/>
        </w:rPr>
        <w:br/>
      </w:r>
    </w:p>
    <w:p w14:paraId="67FB8C98" w14:textId="77777777" w:rsidR="00FA3786" w:rsidRDefault="00FA3786">
      <w:pPr>
        <w:suppressAutoHyphens w:val="0"/>
        <w:spacing w:after="200" w:line="276" w:lineRule="auto"/>
        <w:rPr>
          <w:rFonts w:ascii="Times New Roman" w:hAnsi="Times New Roman"/>
          <w:b/>
          <w:color w:val="auto"/>
          <w:sz w:val="24"/>
        </w:rPr>
      </w:pPr>
    </w:p>
    <w:p w14:paraId="384DA405" w14:textId="77777777" w:rsidR="00FA3786" w:rsidRDefault="00FA3786">
      <w:pPr>
        <w:suppressAutoHyphens w:val="0"/>
        <w:spacing w:after="200" w:line="276" w:lineRule="auto"/>
        <w:rPr>
          <w:rFonts w:ascii="Times New Roman" w:hAnsi="Times New Roman"/>
          <w:b/>
          <w:color w:val="auto"/>
          <w:sz w:val="24"/>
        </w:rPr>
      </w:pPr>
      <w:r>
        <w:rPr>
          <w:b/>
        </w:rPr>
        <w:br w:type="page"/>
      </w:r>
    </w:p>
    <w:p w14:paraId="159A36E0" w14:textId="3B9FB618" w:rsidR="00CF5700" w:rsidRPr="00D64555" w:rsidRDefault="00CF5700" w:rsidP="00CF5700">
      <w:pPr>
        <w:pStyle w:val="BodyText"/>
        <w:rPr>
          <w:b/>
        </w:rPr>
      </w:pPr>
      <w:proofErr w:type="gramStart"/>
      <w:r w:rsidRPr="00D64555">
        <w:rPr>
          <w:b/>
        </w:rPr>
        <w:lastRenderedPageBreak/>
        <w:t xml:space="preserve">Table </w:t>
      </w:r>
      <w:r w:rsidR="00EA3B6F">
        <w:rPr>
          <w:b/>
        </w:rPr>
        <w:t>2</w:t>
      </w:r>
      <w:r w:rsidR="009C5366">
        <w:rPr>
          <w:b/>
        </w:rPr>
        <w:t>.</w:t>
      </w:r>
      <w:proofErr w:type="gramEnd"/>
      <w:r w:rsidR="009C5366">
        <w:rPr>
          <w:b/>
        </w:rPr>
        <w:t xml:space="preserve"> Modeled Energy Output for Each Measurement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124"/>
        <w:gridCol w:w="2413"/>
        <w:gridCol w:w="2329"/>
      </w:tblGrid>
      <w:tr w:rsidR="00CF5700" w:rsidRPr="00875A1B" w14:paraId="0FF49EE7" w14:textId="77777777" w:rsidTr="00B97926">
        <w:trPr>
          <w:cantSplit/>
          <w:trHeight w:val="575"/>
          <w:jc w:val="center"/>
        </w:trPr>
        <w:tc>
          <w:tcPr>
            <w:tcW w:w="2602" w:type="dxa"/>
            <w:tcBorders>
              <w:bottom w:val="single" w:sz="4" w:space="0" w:color="auto"/>
            </w:tcBorders>
            <w:shd w:val="pct20" w:color="auto" w:fill="auto"/>
            <w:vAlign w:val="bottom"/>
          </w:tcPr>
          <w:p w14:paraId="5837E7CB" w14:textId="77777777" w:rsidR="00CF5700" w:rsidRPr="00AA14C6" w:rsidRDefault="00CF5700" w:rsidP="00B97926">
            <w:pPr>
              <w:pStyle w:val="BodyText"/>
              <w:spacing w:before="40" w:after="40"/>
              <w:jc w:val="center"/>
              <w:rPr>
                <w:u w:val="single"/>
              </w:rPr>
            </w:pPr>
            <w:r w:rsidRPr="00AA14C6">
              <w:t xml:space="preserve">Performance Guarantee </w:t>
            </w:r>
            <w:r>
              <w:t>Period</w:t>
            </w:r>
          </w:p>
        </w:tc>
        <w:tc>
          <w:tcPr>
            <w:tcW w:w="2124" w:type="dxa"/>
            <w:tcBorders>
              <w:bottom w:val="single" w:sz="4" w:space="0" w:color="auto"/>
            </w:tcBorders>
            <w:shd w:val="pct20" w:color="auto" w:fill="auto"/>
            <w:vAlign w:val="bottom"/>
          </w:tcPr>
          <w:p w14:paraId="73C44E54" w14:textId="77777777" w:rsidR="00CF5700" w:rsidRPr="00AA14C6" w:rsidRDefault="00CF5700" w:rsidP="00B97926">
            <w:pPr>
              <w:pStyle w:val="BodyText"/>
              <w:spacing w:before="40" w:after="40"/>
              <w:jc w:val="center"/>
            </w:pPr>
            <w:r w:rsidRPr="00AA14C6">
              <w:t>Measurement Period</w:t>
            </w:r>
          </w:p>
        </w:tc>
        <w:tc>
          <w:tcPr>
            <w:tcW w:w="2413" w:type="dxa"/>
            <w:shd w:val="pct20" w:color="auto" w:fill="auto"/>
            <w:vAlign w:val="bottom"/>
          </w:tcPr>
          <w:p w14:paraId="4CFDE8D2" w14:textId="77777777" w:rsidR="00CF5700" w:rsidRPr="00AA14C6" w:rsidRDefault="00CF5700" w:rsidP="00B97926">
            <w:pPr>
              <w:pStyle w:val="BodyText"/>
              <w:spacing w:before="40" w:after="40"/>
              <w:jc w:val="center"/>
            </w:pPr>
            <w:r>
              <w:rPr>
                <w:noProof/>
                <w:position w:val="-10"/>
              </w:rPr>
              <w:drawing>
                <wp:inline distT="0" distB="0" distL="0" distR="0" wp14:anchorId="65CBF81C" wp14:editId="5CFA2462">
                  <wp:extent cx="346075" cy="23876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46075" cy="238760"/>
                          </a:xfrm>
                          <a:prstGeom prst="rect">
                            <a:avLst/>
                          </a:prstGeom>
                          <a:noFill/>
                          <a:ln w="9525">
                            <a:noFill/>
                            <a:miter lim="800000"/>
                            <a:headEnd/>
                            <a:tailEnd/>
                          </a:ln>
                        </pic:spPr>
                      </pic:pic>
                    </a:graphicData>
                  </a:graphic>
                </wp:inline>
              </w:drawing>
            </w:r>
          </w:p>
        </w:tc>
        <w:tc>
          <w:tcPr>
            <w:tcW w:w="2329" w:type="dxa"/>
            <w:shd w:val="pct20" w:color="auto" w:fill="auto"/>
            <w:vAlign w:val="bottom"/>
          </w:tcPr>
          <w:p w14:paraId="43D9A751" w14:textId="77777777" w:rsidR="00CF5700" w:rsidRPr="00AA14C6" w:rsidRDefault="00CF5700" w:rsidP="00B97926">
            <w:pPr>
              <w:pStyle w:val="BodyText"/>
              <w:spacing w:before="40" w:after="40"/>
              <w:jc w:val="center"/>
            </w:pPr>
            <w:r>
              <w:rPr>
                <w:noProof/>
                <w:position w:val="-10"/>
              </w:rPr>
              <w:drawing>
                <wp:inline distT="0" distB="0" distL="0" distR="0" wp14:anchorId="0352B81E" wp14:editId="176E1BAF">
                  <wp:extent cx="379095" cy="238760"/>
                  <wp:effectExtent l="19050" t="0" r="190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79095" cy="238760"/>
                          </a:xfrm>
                          <a:prstGeom prst="rect">
                            <a:avLst/>
                          </a:prstGeom>
                          <a:noFill/>
                          <a:ln w="9525">
                            <a:noFill/>
                            <a:miter lim="800000"/>
                            <a:headEnd/>
                            <a:tailEnd/>
                          </a:ln>
                        </pic:spPr>
                      </pic:pic>
                    </a:graphicData>
                  </a:graphic>
                </wp:inline>
              </w:drawing>
            </w:r>
            <w:r w:rsidR="009C5366">
              <w:t>*</w:t>
            </w:r>
          </w:p>
        </w:tc>
      </w:tr>
      <w:tr w:rsidR="00FA3786" w:rsidRPr="00875A1B" w14:paraId="16B700A8" w14:textId="77777777" w:rsidTr="00B97926">
        <w:trPr>
          <w:cantSplit/>
          <w:trHeight w:val="270"/>
          <w:jc w:val="center"/>
        </w:trPr>
        <w:tc>
          <w:tcPr>
            <w:tcW w:w="2602" w:type="dxa"/>
          </w:tcPr>
          <w:p w14:paraId="3680BA8B" w14:textId="77777777" w:rsidR="00FA3786" w:rsidRPr="00AA14C6" w:rsidRDefault="00FA3786" w:rsidP="00B97926">
            <w:pPr>
              <w:pStyle w:val="BodyText"/>
              <w:spacing w:before="40" w:after="40"/>
              <w:jc w:val="center"/>
            </w:pPr>
            <w:r w:rsidRPr="00AA14C6">
              <w:t>1</w:t>
            </w:r>
          </w:p>
        </w:tc>
        <w:tc>
          <w:tcPr>
            <w:tcW w:w="2124" w:type="dxa"/>
          </w:tcPr>
          <w:p w14:paraId="038129F0" w14:textId="77777777" w:rsidR="00FA3786" w:rsidRPr="00AA14C6" w:rsidRDefault="00FA3786" w:rsidP="00B97926">
            <w:pPr>
              <w:pStyle w:val="BodyText"/>
              <w:spacing w:before="40" w:after="40"/>
              <w:jc w:val="center"/>
            </w:pPr>
            <w:r w:rsidRPr="00AA14C6">
              <w:t>A</w:t>
            </w:r>
            <w:r>
              <w:t>nnual</w:t>
            </w:r>
          </w:p>
        </w:tc>
        <w:tc>
          <w:tcPr>
            <w:tcW w:w="2413" w:type="dxa"/>
            <w:vAlign w:val="center"/>
          </w:tcPr>
          <w:p w14:paraId="0D327B96" w14:textId="77777777" w:rsidR="00FA3786" w:rsidRPr="00AC2B0F" w:rsidRDefault="00FA3786" w:rsidP="00B97926">
            <w:pPr>
              <w:pStyle w:val="BodyText"/>
              <w:spacing w:before="40" w:after="40"/>
              <w:jc w:val="center"/>
            </w:pPr>
            <w:r w:rsidRPr="00AC2B0F">
              <w:t>[x,xxx.x]</w:t>
            </w:r>
          </w:p>
        </w:tc>
        <w:tc>
          <w:tcPr>
            <w:tcW w:w="2329" w:type="dxa"/>
            <w:vAlign w:val="center"/>
          </w:tcPr>
          <w:p w14:paraId="64BBE116"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r>
      <w:tr w:rsidR="00FA3786" w:rsidRPr="00875A1B" w14:paraId="040264F7" w14:textId="77777777" w:rsidTr="00B97926">
        <w:trPr>
          <w:cantSplit/>
          <w:trHeight w:val="270"/>
          <w:jc w:val="center"/>
        </w:trPr>
        <w:tc>
          <w:tcPr>
            <w:tcW w:w="2602" w:type="dxa"/>
          </w:tcPr>
          <w:p w14:paraId="05A0E395" w14:textId="77777777" w:rsidR="00FA3786" w:rsidRPr="00AA14C6" w:rsidRDefault="00FA3786" w:rsidP="00B97926">
            <w:pPr>
              <w:pStyle w:val="BodyText"/>
              <w:spacing w:before="40" w:after="40"/>
              <w:jc w:val="center"/>
            </w:pPr>
            <w:r w:rsidRPr="00AA14C6">
              <w:t>2</w:t>
            </w:r>
          </w:p>
        </w:tc>
        <w:tc>
          <w:tcPr>
            <w:tcW w:w="2124" w:type="dxa"/>
          </w:tcPr>
          <w:p w14:paraId="0847879A" w14:textId="77777777" w:rsidR="00FA3786" w:rsidRPr="00AA14C6" w:rsidRDefault="00FA3786" w:rsidP="00B97926">
            <w:pPr>
              <w:pStyle w:val="BodyText"/>
              <w:spacing w:before="40" w:after="40"/>
              <w:jc w:val="center"/>
            </w:pPr>
            <w:r w:rsidRPr="00AA14C6">
              <w:t>A</w:t>
            </w:r>
            <w:r>
              <w:t>nnual</w:t>
            </w:r>
          </w:p>
        </w:tc>
        <w:tc>
          <w:tcPr>
            <w:tcW w:w="2413" w:type="dxa"/>
            <w:vAlign w:val="center"/>
          </w:tcPr>
          <w:p w14:paraId="3B29C276" w14:textId="77777777" w:rsidR="00FA3786" w:rsidRPr="00AC2B0F" w:rsidRDefault="00FA3786" w:rsidP="00B97926">
            <w:pPr>
              <w:pStyle w:val="BodyText"/>
              <w:spacing w:before="40" w:after="40"/>
              <w:jc w:val="center"/>
            </w:pPr>
            <w:r w:rsidRPr="00AC2B0F">
              <w:t>[x,xxx.x]</w:t>
            </w:r>
          </w:p>
        </w:tc>
        <w:tc>
          <w:tcPr>
            <w:tcW w:w="2329" w:type="dxa"/>
            <w:vAlign w:val="center"/>
          </w:tcPr>
          <w:p w14:paraId="4C160674"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r>
      <w:tr w:rsidR="00FA3786" w:rsidRPr="00875A1B" w14:paraId="06CFB76E" w14:textId="77777777" w:rsidTr="00B97926">
        <w:trPr>
          <w:cantSplit/>
          <w:trHeight w:val="270"/>
          <w:jc w:val="center"/>
        </w:trPr>
        <w:tc>
          <w:tcPr>
            <w:tcW w:w="2602" w:type="dxa"/>
          </w:tcPr>
          <w:p w14:paraId="6AE7FC85" w14:textId="77777777" w:rsidR="00FA3786" w:rsidRPr="00AA14C6" w:rsidRDefault="00FA3786" w:rsidP="00B97926">
            <w:pPr>
              <w:pStyle w:val="BodyText"/>
              <w:spacing w:before="40" w:after="40"/>
              <w:jc w:val="center"/>
            </w:pPr>
            <w:r w:rsidRPr="00AA14C6">
              <w:t>3</w:t>
            </w:r>
          </w:p>
        </w:tc>
        <w:tc>
          <w:tcPr>
            <w:tcW w:w="2124" w:type="dxa"/>
          </w:tcPr>
          <w:p w14:paraId="60CF5B46" w14:textId="77777777" w:rsidR="00FA3786" w:rsidRPr="00AA14C6" w:rsidRDefault="00FA3786" w:rsidP="00B97926">
            <w:pPr>
              <w:pStyle w:val="BodyText"/>
              <w:spacing w:before="40" w:after="40"/>
              <w:jc w:val="center"/>
            </w:pPr>
            <w:r w:rsidRPr="00AA14C6">
              <w:t>A</w:t>
            </w:r>
            <w:r>
              <w:t>nnual</w:t>
            </w:r>
          </w:p>
        </w:tc>
        <w:tc>
          <w:tcPr>
            <w:tcW w:w="2413" w:type="dxa"/>
            <w:vAlign w:val="center"/>
          </w:tcPr>
          <w:p w14:paraId="0DED6812" w14:textId="77777777" w:rsidR="00FA3786" w:rsidRPr="00AC2B0F" w:rsidRDefault="00FA3786" w:rsidP="00B97926">
            <w:pPr>
              <w:pStyle w:val="BodyText"/>
              <w:spacing w:before="40" w:after="40"/>
              <w:jc w:val="center"/>
            </w:pPr>
            <w:r w:rsidRPr="00AC2B0F">
              <w:t>[x,xxx.x]</w:t>
            </w:r>
          </w:p>
        </w:tc>
        <w:tc>
          <w:tcPr>
            <w:tcW w:w="2329" w:type="dxa"/>
            <w:vAlign w:val="center"/>
          </w:tcPr>
          <w:p w14:paraId="67BE33A2"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r>
      <w:tr w:rsidR="00FA3786" w:rsidRPr="00875A1B" w14:paraId="79F11238" w14:textId="77777777" w:rsidTr="00B97926">
        <w:trPr>
          <w:cantSplit/>
          <w:trHeight w:val="270"/>
          <w:jc w:val="center"/>
        </w:trPr>
        <w:tc>
          <w:tcPr>
            <w:tcW w:w="2602" w:type="dxa"/>
          </w:tcPr>
          <w:p w14:paraId="69BCA7D0" w14:textId="77777777" w:rsidR="00FA3786" w:rsidRPr="00AA14C6" w:rsidRDefault="00FA3786" w:rsidP="00B97926">
            <w:pPr>
              <w:pStyle w:val="BodyText"/>
              <w:spacing w:before="40" w:after="40"/>
              <w:jc w:val="center"/>
            </w:pPr>
            <w:r w:rsidRPr="00AA14C6">
              <w:t>4</w:t>
            </w:r>
          </w:p>
        </w:tc>
        <w:tc>
          <w:tcPr>
            <w:tcW w:w="2124" w:type="dxa"/>
          </w:tcPr>
          <w:p w14:paraId="057EC0E4" w14:textId="77777777" w:rsidR="00FA3786" w:rsidRPr="00AA14C6" w:rsidRDefault="00FA3786" w:rsidP="00B97926">
            <w:pPr>
              <w:pStyle w:val="BodyText"/>
              <w:spacing w:before="40" w:after="40"/>
              <w:jc w:val="center"/>
            </w:pPr>
            <w:r w:rsidRPr="00AA14C6">
              <w:t>A</w:t>
            </w:r>
            <w:r>
              <w:t>nnual</w:t>
            </w:r>
          </w:p>
        </w:tc>
        <w:tc>
          <w:tcPr>
            <w:tcW w:w="2413" w:type="dxa"/>
            <w:vAlign w:val="center"/>
          </w:tcPr>
          <w:p w14:paraId="6ABA94A3" w14:textId="77777777" w:rsidR="00FA3786" w:rsidRPr="00AC2B0F" w:rsidRDefault="00FA3786" w:rsidP="00B97926">
            <w:pPr>
              <w:pStyle w:val="BodyText"/>
              <w:spacing w:before="40" w:after="40"/>
              <w:jc w:val="center"/>
            </w:pPr>
            <w:r w:rsidRPr="00AC2B0F">
              <w:t>[x,xxx.x]</w:t>
            </w:r>
          </w:p>
        </w:tc>
        <w:tc>
          <w:tcPr>
            <w:tcW w:w="2329" w:type="dxa"/>
            <w:vAlign w:val="center"/>
          </w:tcPr>
          <w:p w14:paraId="12E518B2"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r>
      <w:tr w:rsidR="00FA3786" w:rsidRPr="00875A1B" w14:paraId="077F68EE" w14:textId="77777777" w:rsidTr="00B97926">
        <w:trPr>
          <w:cantSplit/>
          <w:trHeight w:val="270"/>
          <w:jc w:val="center"/>
        </w:trPr>
        <w:tc>
          <w:tcPr>
            <w:tcW w:w="2602" w:type="dxa"/>
            <w:tcBorders>
              <w:bottom w:val="single" w:sz="4" w:space="0" w:color="auto"/>
            </w:tcBorders>
          </w:tcPr>
          <w:p w14:paraId="3054D8F8" w14:textId="77777777" w:rsidR="00FA3786" w:rsidRPr="00AA14C6" w:rsidRDefault="00FA3786" w:rsidP="00B97926">
            <w:pPr>
              <w:pStyle w:val="BodyText"/>
              <w:spacing w:before="40" w:after="40"/>
              <w:jc w:val="center"/>
            </w:pPr>
            <w:r w:rsidRPr="00AA14C6">
              <w:t>5</w:t>
            </w:r>
          </w:p>
        </w:tc>
        <w:tc>
          <w:tcPr>
            <w:tcW w:w="2124" w:type="dxa"/>
            <w:tcBorders>
              <w:bottom w:val="single" w:sz="4" w:space="0" w:color="auto"/>
            </w:tcBorders>
          </w:tcPr>
          <w:p w14:paraId="421467DA" w14:textId="77777777" w:rsidR="00FA3786" w:rsidRPr="00AA14C6" w:rsidRDefault="00FA3786" w:rsidP="00B97926">
            <w:pPr>
              <w:pStyle w:val="BodyText"/>
              <w:spacing w:before="40" w:after="40"/>
              <w:jc w:val="center"/>
            </w:pPr>
            <w:r w:rsidRPr="00AA14C6">
              <w:t>A</w:t>
            </w:r>
            <w:r>
              <w:t>nnual</w:t>
            </w:r>
          </w:p>
        </w:tc>
        <w:tc>
          <w:tcPr>
            <w:tcW w:w="2413" w:type="dxa"/>
            <w:tcBorders>
              <w:bottom w:val="single" w:sz="4" w:space="0" w:color="auto"/>
            </w:tcBorders>
            <w:vAlign w:val="center"/>
          </w:tcPr>
          <w:p w14:paraId="23E0F428" w14:textId="77777777" w:rsidR="00FA3786" w:rsidRPr="00AC2B0F" w:rsidRDefault="00FA3786" w:rsidP="00B97926">
            <w:pPr>
              <w:pStyle w:val="BodyText"/>
              <w:spacing w:before="40" w:after="40"/>
              <w:jc w:val="center"/>
            </w:pPr>
            <w:r w:rsidRPr="00AC2B0F">
              <w:t>[x,xxx.x]</w:t>
            </w:r>
          </w:p>
        </w:tc>
        <w:tc>
          <w:tcPr>
            <w:tcW w:w="2329" w:type="dxa"/>
            <w:tcBorders>
              <w:bottom w:val="single" w:sz="4" w:space="0" w:color="auto"/>
            </w:tcBorders>
            <w:vAlign w:val="center"/>
          </w:tcPr>
          <w:p w14:paraId="080373D5"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r>
      <w:tr w:rsidR="00CF5700" w:rsidRPr="00875A1B" w14:paraId="35BA2A57" w14:textId="77777777" w:rsidTr="00B97926">
        <w:trPr>
          <w:cantSplit/>
          <w:trHeight w:val="270"/>
          <w:jc w:val="center"/>
        </w:trPr>
        <w:tc>
          <w:tcPr>
            <w:tcW w:w="9468" w:type="dxa"/>
            <w:gridSpan w:val="4"/>
            <w:tcBorders>
              <w:left w:val="nil"/>
              <w:bottom w:val="nil"/>
              <w:right w:val="nil"/>
            </w:tcBorders>
          </w:tcPr>
          <w:p w14:paraId="3DE92EEE" w14:textId="77777777" w:rsidR="00CF5700" w:rsidRPr="00AA14C6" w:rsidRDefault="00CF5700" w:rsidP="00B97926">
            <w:pPr>
              <w:pStyle w:val="BodyText"/>
              <w:rPr>
                <w:szCs w:val="20"/>
                <w:highlight w:val="yellow"/>
              </w:rPr>
            </w:pPr>
            <w:r>
              <w:t xml:space="preserve">* In the event that </w:t>
            </w:r>
            <w:r w:rsidRPr="00D51803">
              <w:rPr>
                <w:i/>
              </w:rPr>
              <w:t>P</w:t>
            </w:r>
            <w:r w:rsidRPr="00D51803">
              <w:rPr>
                <w:i/>
                <w:vertAlign w:val="subscript"/>
              </w:rPr>
              <w:t>FINAL</w:t>
            </w:r>
            <w:r>
              <w:t xml:space="preserve"> is less than </w:t>
            </w:r>
            <w:r w:rsidRPr="00D51803">
              <w:rPr>
                <w:i/>
              </w:rPr>
              <w:t>P</w:t>
            </w:r>
            <w:r w:rsidRPr="00D51803">
              <w:rPr>
                <w:i/>
                <w:vertAlign w:val="subscript"/>
              </w:rPr>
              <w:t>CONTRACT</w:t>
            </w:r>
            <w:r>
              <w:t xml:space="preserve"> and Contractor has paid Energy Performance Liquidated Damages as a result, then going forward these values shall be adjusted downwards in proportion to the amount of the capacity de-rate.</w:t>
            </w:r>
          </w:p>
        </w:tc>
      </w:tr>
    </w:tbl>
    <w:p w14:paraId="41F72931" w14:textId="77777777" w:rsidR="00CF5700" w:rsidRDefault="00CF5700" w:rsidP="00F4535B">
      <w:pPr>
        <w:pStyle w:val="Heading3"/>
        <w:numPr>
          <w:ilvl w:val="0"/>
          <w:numId w:val="0"/>
        </w:numPr>
      </w:pPr>
      <w:bookmarkStart w:id="3" w:name="_Toc343082435"/>
      <w:r w:rsidRPr="00864E13">
        <w:t>Energy</w:t>
      </w:r>
      <w:r w:rsidRPr="008D3976">
        <w:t xml:space="preserve"> </w:t>
      </w:r>
      <w:r w:rsidRPr="00AA14C6">
        <w:t>Performance Liquidated Damages</w:t>
      </w:r>
      <w:bookmarkEnd w:id="3"/>
    </w:p>
    <w:p w14:paraId="41F4119F" w14:textId="77777777" w:rsidR="00CF5700" w:rsidRPr="00AA14C6" w:rsidRDefault="00CF5700" w:rsidP="00CF5700">
      <w:pPr>
        <w:pStyle w:val="BodyText"/>
      </w:pPr>
      <w:r w:rsidRPr="00AA14C6">
        <w:t xml:space="preserve">Energy Performance Liquidated Damages </w:t>
      </w:r>
      <w:r w:rsidR="009C5366">
        <w:t xml:space="preserve">(LDs) </w:t>
      </w:r>
      <w:r w:rsidRPr="00AA14C6">
        <w:t xml:space="preserve">shall be payable by Contractor in respect of each kWh by which the Actual </w:t>
      </w:r>
      <w:r>
        <w:t>Plant</w:t>
      </w:r>
      <w:r w:rsidR="009C5366">
        <w:t xml:space="preserve"> Output (</w:t>
      </w:r>
      <w:r w:rsidRPr="00AA14C6">
        <w:t>E</w:t>
      </w:r>
      <w:r w:rsidRPr="00AA14C6">
        <w:rPr>
          <w:vertAlign w:val="subscript"/>
        </w:rPr>
        <w:t>ACT</w:t>
      </w:r>
      <w:r w:rsidRPr="00AA14C6">
        <w:rPr>
          <w:vertAlign w:val="superscript"/>
        </w:rPr>
        <w:t>MP</w:t>
      </w:r>
      <w:r w:rsidRPr="00AA14C6">
        <w:t xml:space="preserve">) is less than the Weather-Adjusted Expected </w:t>
      </w:r>
      <w:r>
        <w:t>Plant</w:t>
      </w:r>
      <w:r w:rsidR="009C5366">
        <w:t xml:space="preserve"> Output (</w:t>
      </w:r>
      <w:r w:rsidRPr="00AA14C6">
        <w:t>E</w:t>
      </w:r>
      <w:r w:rsidRPr="00AA14C6">
        <w:rPr>
          <w:vertAlign w:val="subscript"/>
        </w:rPr>
        <w:t>EXP</w:t>
      </w:r>
      <w:r w:rsidRPr="00AA14C6">
        <w:rPr>
          <w:vertAlign w:val="superscript"/>
        </w:rPr>
        <w:t>MP</w:t>
      </w:r>
      <w:r w:rsidRPr="00AA14C6">
        <w:t xml:space="preserve">) during each Measurement Period during each Performance Guarantee </w:t>
      </w:r>
      <w:r>
        <w:t>Period</w:t>
      </w:r>
      <w:r w:rsidRPr="00AA14C6">
        <w:t>, calculated in accordance with the following equation</w:t>
      </w:r>
      <w:r>
        <w:t>:</w:t>
      </w:r>
    </w:p>
    <w:p w14:paraId="4B54CBEA" w14:textId="5146279C" w:rsidR="00CF5700" w:rsidRPr="00533DE7" w:rsidRDefault="009C5366" w:rsidP="00CF5700">
      <w:pPr>
        <w:pStyle w:val="BodyText"/>
        <w:jc w:val="center"/>
        <w:rPr>
          <w:color w:val="000000" w:themeColor="text1"/>
          <w:sz w:val="28"/>
          <w:szCs w:val="28"/>
        </w:rPr>
      </w:pPr>
      <w:r w:rsidRPr="00FA3786">
        <w:rPr>
          <w:rStyle w:val="CommentReference"/>
          <w:color w:val="000000" w:themeColor="text1"/>
          <w:sz w:val="28"/>
          <w:szCs w:val="28"/>
        </w:rPr>
        <w:t xml:space="preserve">LDs = </w:t>
      </w:r>
      <w:r w:rsidR="00CF5700" w:rsidRPr="00FA3786">
        <w:rPr>
          <w:rStyle w:val="CommentReference"/>
          <w:color w:val="000000" w:themeColor="text1"/>
          <w:sz w:val="28"/>
          <w:szCs w:val="28"/>
        </w:rPr>
        <w:t>(</w:t>
      </w:r>
      <w:r w:rsidR="00CF5700" w:rsidRPr="00FA3786">
        <w:rPr>
          <w:rStyle w:val="CommentReference"/>
          <w:i/>
          <w:color w:val="000000" w:themeColor="text1"/>
          <w:sz w:val="28"/>
          <w:szCs w:val="28"/>
        </w:rPr>
        <w:t>E</w:t>
      </w:r>
      <w:r w:rsidR="00CF5700" w:rsidRPr="00FA3786">
        <w:rPr>
          <w:rStyle w:val="CommentReference"/>
          <w:rFonts w:ascii="Times New Roman Italic" w:hAnsi="Times New Roman Italic"/>
          <w:i/>
          <w:color w:val="000000" w:themeColor="text1"/>
          <w:sz w:val="28"/>
          <w:szCs w:val="28"/>
          <w:vertAlign w:val="subscript"/>
        </w:rPr>
        <w:t>ACT</w:t>
      </w:r>
      <w:r w:rsidR="00CF5700" w:rsidRPr="00FA3786">
        <w:rPr>
          <w:rStyle w:val="CommentReference"/>
          <w:rFonts w:ascii="Times New Roman Italic" w:hAnsi="Times New Roman Italic"/>
          <w:i/>
          <w:color w:val="000000" w:themeColor="text1"/>
          <w:sz w:val="28"/>
          <w:szCs w:val="28"/>
          <w:vertAlign w:val="superscript"/>
        </w:rPr>
        <w:t>MP</w:t>
      </w:r>
      <w:r w:rsidR="00CF5700" w:rsidRPr="00FA3786">
        <w:rPr>
          <w:rStyle w:val="CommentReference"/>
          <w:color w:val="000000" w:themeColor="text1"/>
          <w:sz w:val="28"/>
          <w:szCs w:val="28"/>
        </w:rPr>
        <w:t xml:space="preserve"> – </w:t>
      </w:r>
      <w:r w:rsidR="00CF5700" w:rsidRPr="00FA3786">
        <w:rPr>
          <w:rStyle w:val="CommentReference"/>
          <w:i/>
          <w:color w:val="000000" w:themeColor="text1"/>
          <w:sz w:val="28"/>
          <w:szCs w:val="28"/>
        </w:rPr>
        <w:t>E</w:t>
      </w:r>
      <w:r w:rsidR="00CF5700" w:rsidRPr="00FA3786">
        <w:rPr>
          <w:rStyle w:val="CommentReference"/>
          <w:rFonts w:ascii="Times New Roman Italic" w:hAnsi="Times New Roman Italic"/>
          <w:i/>
          <w:color w:val="000000" w:themeColor="text1"/>
          <w:sz w:val="28"/>
          <w:szCs w:val="28"/>
          <w:vertAlign w:val="subscript"/>
        </w:rPr>
        <w:t>EXP</w:t>
      </w:r>
      <w:r w:rsidR="00CF5700" w:rsidRPr="00FA3786">
        <w:rPr>
          <w:rStyle w:val="CommentReference"/>
          <w:rFonts w:ascii="Times New Roman Italic" w:hAnsi="Times New Roman Italic"/>
          <w:i/>
          <w:color w:val="000000" w:themeColor="text1"/>
          <w:sz w:val="28"/>
          <w:szCs w:val="28"/>
          <w:vertAlign w:val="superscript"/>
        </w:rPr>
        <w:t>MP</w:t>
      </w:r>
      <w:r w:rsidR="00CF5700" w:rsidRPr="00FA3786">
        <w:rPr>
          <w:rStyle w:val="CommentReference"/>
          <w:color w:val="000000" w:themeColor="text1"/>
          <w:sz w:val="28"/>
          <w:szCs w:val="28"/>
        </w:rPr>
        <w:t xml:space="preserve">) </w:t>
      </w:r>
      <w:r w:rsidR="00CF5700" w:rsidRPr="00533DE7">
        <w:rPr>
          <w:rStyle w:val="CommentReference"/>
          <w:color w:val="000000" w:themeColor="text1"/>
          <w:sz w:val="28"/>
          <w:szCs w:val="28"/>
        </w:rPr>
        <w:t>X</w:t>
      </w:r>
      <w:r w:rsidR="00CF5700" w:rsidRPr="00533DE7">
        <w:rPr>
          <w:rStyle w:val="CommentReference"/>
          <w:rFonts w:ascii="Times New Roman" w:hAnsi="Times New Roman"/>
          <w:color w:val="000000" w:themeColor="text1"/>
          <w:sz w:val="28"/>
          <w:szCs w:val="28"/>
        </w:rPr>
        <w:t xml:space="preserve"> </w:t>
      </w:r>
      <w:r w:rsidR="00533DE7" w:rsidRPr="00533DE7">
        <w:rPr>
          <w:rStyle w:val="CommentReference"/>
          <w:rFonts w:ascii="Times New Roman" w:hAnsi="Times New Roman"/>
          <w:color w:val="000000" w:themeColor="text1"/>
          <w:sz w:val="28"/>
          <w:szCs w:val="28"/>
        </w:rPr>
        <w:t>(Value from Section 16.2.1 of Agreement)</w:t>
      </w:r>
    </w:p>
    <w:p w14:paraId="0F1FB0F8" w14:textId="77777777" w:rsidR="00CF5700" w:rsidRPr="00AA14C6" w:rsidRDefault="00CF5700" w:rsidP="00CF5700">
      <w:pPr>
        <w:pStyle w:val="BodyText"/>
      </w:pPr>
      <w:r w:rsidRPr="00AA14C6">
        <w:t xml:space="preserve">For the avoidance of doubt, no payment shall be required to be made by </w:t>
      </w:r>
      <w:r>
        <w:t xml:space="preserve">Owner to </w:t>
      </w:r>
      <w:r w:rsidRPr="00AA14C6">
        <w:t xml:space="preserve">Contractor in the </w:t>
      </w:r>
      <w:r>
        <w:t>e</w:t>
      </w:r>
      <w:r w:rsidRPr="00AA14C6">
        <w:t xml:space="preserve">vent Actual </w:t>
      </w:r>
      <w:r>
        <w:t>Plant</w:t>
      </w:r>
      <w:r w:rsidR="009C5366">
        <w:t xml:space="preserve"> Output (</w:t>
      </w:r>
      <w:r w:rsidRPr="00AA14C6">
        <w:t>E</w:t>
      </w:r>
      <w:r w:rsidRPr="00AA14C6">
        <w:rPr>
          <w:vertAlign w:val="subscript"/>
        </w:rPr>
        <w:t>ACT</w:t>
      </w:r>
      <w:r w:rsidRPr="00AA14C6">
        <w:rPr>
          <w:vertAlign w:val="superscript"/>
        </w:rPr>
        <w:t>MP</w:t>
      </w:r>
      <w:r w:rsidRPr="00AA14C6">
        <w:t xml:space="preserve">) is greater than the Weather-Adjusted Expected </w:t>
      </w:r>
      <w:r>
        <w:t>Plant</w:t>
      </w:r>
      <w:r w:rsidR="009C5366">
        <w:t xml:space="preserve"> Output (</w:t>
      </w:r>
      <w:r w:rsidRPr="00AA14C6">
        <w:t>E</w:t>
      </w:r>
      <w:r w:rsidRPr="00AA14C6">
        <w:rPr>
          <w:vertAlign w:val="subscript"/>
        </w:rPr>
        <w:t>EXP</w:t>
      </w:r>
      <w:r w:rsidRPr="00AA14C6">
        <w:rPr>
          <w:vertAlign w:val="superscript"/>
        </w:rPr>
        <w:t>MP</w:t>
      </w:r>
      <w:r w:rsidRPr="00AA14C6">
        <w:t>) during any Measurement Period.</w:t>
      </w:r>
    </w:p>
    <w:p w14:paraId="4DD4CF38" w14:textId="77777777" w:rsidR="00CF5700" w:rsidRDefault="00CF5700" w:rsidP="00CF5700">
      <w:pPr>
        <w:pStyle w:val="BodyText"/>
      </w:pPr>
      <w:r w:rsidRPr="00AA14C6">
        <w:t xml:space="preserve">Defined terms used </w:t>
      </w:r>
      <w:r>
        <w:t>herein and not otherwise defined</w:t>
      </w:r>
      <w:r w:rsidRPr="00AA14C6">
        <w:t xml:space="preserve"> have the meaning given to them in the </w:t>
      </w:r>
      <w:r>
        <w:t>Agreement</w:t>
      </w:r>
      <w:r w:rsidRPr="00AA14C6">
        <w:t>.</w:t>
      </w:r>
    </w:p>
    <w:p w14:paraId="781E68DD" w14:textId="77777777" w:rsidR="006221D3" w:rsidRDefault="006221D3"/>
    <w:sectPr w:rsidR="006221D3" w:rsidSect="006221D3">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092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ECB80" w14:textId="77777777" w:rsidR="00A44D31" w:rsidRDefault="00A44D31" w:rsidP="00A44D31">
      <w:pPr>
        <w:spacing w:after="0" w:line="240" w:lineRule="auto"/>
      </w:pPr>
      <w:r>
        <w:separator/>
      </w:r>
    </w:p>
  </w:endnote>
  <w:endnote w:type="continuationSeparator" w:id="0">
    <w:p w14:paraId="11AFFC9D" w14:textId="77777777" w:rsidR="00A44D31" w:rsidRDefault="00A44D31" w:rsidP="00A4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C434" w14:textId="398E9F05" w:rsidR="00A44D31" w:rsidRPr="00CC487E" w:rsidRDefault="005A3F95" w:rsidP="005A3F95">
    <w:pPr>
      <w:pStyle w:val="Footer"/>
      <w:jc w:val="center"/>
      <w:rPr>
        <w:sz w:val="24"/>
      </w:rPr>
    </w:pPr>
    <w:r w:rsidRPr="00CC487E">
      <w:rPr>
        <w:sz w:val="24"/>
      </w:rPr>
      <w:t xml:space="preserve">Plant Performance Guarantee – A-10 - </w:t>
    </w:r>
    <w:r w:rsidRPr="00CC487E">
      <w:rPr>
        <w:sz w:val="24"/>
      </w:rPr>
      <w:fldChar w:fldCharType="begin"/>
    </w:r>
    <w:r w:rsidRPr="00CC487E">
      <w:rPr>
        <w:sz w:val="24"/>
      </w:rPr>
      <w:instrText xml:space="preserve"> page </w:instrText>
    </w:r>
    <w:r w:rsidRPr="00CC487E">
      <w:rPr>
        <w:sz w:val="24"/>
      </w:rPr>
      <w:fldChar w:fldCharType="separate"/>
    </w:r>
    <w:r w:rsidR="00CC6293">
      <w:rPr>
        <w:noProof/>
        <w:sz w:val="24"/>
      </w:rPr>
      <w:t>1</w:t>
    </w:r>
    <w:r w:rsidRPr="00CC487E">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FEF05" w14:textId="77777777" w:rsidR="00A44D31" w:rsidRDefault="00A44D31" w:rsidP="00A44D31">
      <w:pPr>
        <w:spacing w:after="0" w:line="240" w:lineRule="auto"/>
      </w:pPr>
      <w:r>
        <w:separator/>
      </w:r>
    </w:p>
  </w:footnote>
  <w:footnote w:type="continuationSeparator" w:id="0">
    <w:p w14:paraId="13FE7F58" w14:textId="77777777" w:rsidR="00A44D31" w:rsidRDefault="00A44D31" w:rsidP="00A44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5DD5"/>
    <w:multiLevelType w:val="hybridMultilevel"/>
    <w:tmpl w:val="0EC01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77B96"/>
    <w:multiLevelType w:val="multilevel"/>
    <w:tmpl w:val="F78667A0"/>
    <w:lvl w:ilvl="0">
      <w:start w:val="1"/>
      <w:numFmt w:val="upperLetter"/>
      <w:lvlText w:val="Appendix %1:"/>
      <w:lvlJc w:val="right"/>
      <w:pPr>
        <w:tabs>
          <w:tab w:val="num" w:pos="1620"/>
        </w:tabs>
        <w:ind w:left="-626" w:firstLine="2246"/>
      </w:pPr>
      <w:rPr>
        <w:rFonts w:ascii="Arial Narrow" w:hAnsi="Arial Narrow" w:hint="default"/>
        <w:b/>
        <w:i w:val="0"/>
        <w:color w:val="auto"/>
        <w:sz w:val="48"/>
      </w:rPr>
    </w:lvl>
    <w:lvl w:ilvl="1">
      <w:start w:val="1"/>
      <w:numFmt w:val="decimal"/>
      <w:lvlText w:val="%1-%2"/>
      <w:lvlJc w:val="right"/>
      <w:pPr>
        <w:tabs>
          <w:tab w:val="num" w:pos="5580"/>
        </w:tabs>
        <w:ind w:left="4428" w:firstLine="432"/>
      </w:pPr>
      <w:rPr>
        <w:rFonts w:ascii="Arial Narrow" w:hAnsi="Arial Narrow" w:hint="default"/>
        <w:b/>
        <w:i w:val="0"/>
        <w:color w:val="auto"/>
        <w:sz w:val="36"/>
      </w:rPr>
    </w:lvl>
    <w:lvl w:ilvl="2">
      <w:start w:val="1"/>
      <w:numFmt w:val="decimal"/>
      <w:pStyle w:val="Heading3"/>
      <w:lvlText w:val="%1-%2.%3"/>
      <w:lvlJc w:val="right"/>
      <w:pPr>
        <w:tabs>
          <w:tab w:val="num" w:pos="2700"/>
        </w:tabs>
        <w:ind w:left="1620" w:firstLine="720"/>
      </w:pPr>
      <w:rPr>
        <w:rFonts w:ascii="Arial Bold" w:hAnsi="Arial Bold" w:hint="default"/>
        <w:b/>
        <w:i w:val="0"/>
        <w:color w:val="auto"/>
        <w:sz w:val="28"/>
      </w:rPr>
    </w:lvl>
    <w:lvl w:ilvl="3">
      <w:start w:val="1"/>
      <w:numFmt w:val="decimal"/>
      <w:pStyle w:val="Heading4"/>
      <w:lvlText w:val="%1-%2.%3.%4"/>
      <w:lvlJc w:val="left"/>
      <w:pPr>
        <w:tabs>
          <w:tab w:val="num" w:pos="2988"/>
        </w:tabs>
        <w:ind w:left="2988" w:firstLine="432"/>
      </w:pPr>
      <w:rPr>
        <w:rFonts w:ascii="Arial Narrow" w:hAnsi="Arial Narrow" w:hint="default"/>
        <w:b/>
        <w:i w:val="0"/>
        <w:color w:val="auto"/>
        <w:sz w:val="24"/>
      </w:rPr>
    </w:lvl>
    <w:lvl w:ilvl="4">
      <w:start w:val="1"/>
      <w:numFmt w:val="decimal"/>
      <w:lvlText w:val="%1.%2.%3.%4.%5."/>
      <w:lvlJc w:val="left"/>
      <w:pPr>
        <w:tabs>
          <w:tab w:val="num" w:pos="3492"/>
        </w:tabs>
        <w:ind w:left="3492" w:hanging="792"/>
      </w:pPr>
      <w:rPr>
        <w:rFonts w:hint="default"/>
      </w:rPr>
    </w:lvl>
    <w:lvl w:ilvl="5">
      <w:start w:val="1"/>
      <w:numFmt w:val="decimal"/>
      <w:lvlText w:val="%1.%2.%3.%4.%5.%6."/>
      <w:lvlJc w:val="left"/>
      <w:pPr>
        <w:tabs>
          <w:tab w:val="num" w:pos="3996"/>
        </w:tabs>
        <w:ind w:left="3996" w:hanging="936"/>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004"/>
        </w:tabs>
        <w:ind w:left="5004" w:hanging="1224"/>
      </w:pPr>
      <w:rPr>
        <w:rFonts w:hint="default"/>
      </w:rPr>
    </w:lvl>
    <w:lvl w:ilvl="8">
      <w:start w:val="1"/>
      <w:numFmt w:val="decimal"/>
      <w:lvlText w:val="%1.%2.%3.%4.%5.%6.%7.%8.%9."/>
      <w:lvlJc w:val="left"/>
      <w:pPr>
        <w:tabs>
          <w:tab w:val="num" w:pos="5580"/>
        </w:tabs>
        <w:ind w:left="5580" w:hanging="144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ell, Kurt/AUS">
    <w15:presenceInfo w15:providerId="AD" w15:userId="S-1-5-21-1996970544-876638566-416048646-267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00"/>
    <w:rsid w:val="00020A86"/>
    <w:rsid w:val="00026C85"/>
    <w:rsid w:val="00070878"/>
    <w:rsid w:val="0015226C"/>
    <w:rsid w:val="002452D9"/>
    <w:rsid w:val="002975ED"/>
    <w:rsid w:val="00475E97"/>
    <w:rsid w:val="0049430F"/>
    <w:rsid w:val="00523A68"/>
    <w:rsid w:val="00533DE7"/>
    <w:rsid w:val="005674B2"/>
    <w:rsid w:val="005A3F95"/>
    <w:rsid w:val="006221D3"/>
    <w:rsid w:val="00683D2D"/>
    <w:rsid w:val="006F2673"/>
    <w:rsid w:val="007153F4"/>
    <w:rsid w:val="00723EFE"/>
    <w:rsid w:val="007D2948"/>
    <w:rsid w:val="00817941"/>
    <w:rsid w:val="008A5DBA"/>
    <w:rsid w:val="00914A17"/>
    <w:rsid w:val="009520C6"/>
    <w:rsid w:val="009C5366"/>
    <w:rsid w:val="00A44D31"/>
    <w:rsid w:val="00A5698A"/>
    <w:rsid w:val="00AA154B"/>
    <w:rsid w:val="00AC10DD"/>
    <w:rsid w:val="00AC2B0F"/>
    <w:rsid w:val="00AD4059"/>
    <w:rsid w:val="00B6623B"/>
    <w:rsid w:val="00B97926"/>
    <w:rsid w:val="00C64226"/>
    <w:rsid w:val="00CC487E"/>
    <w:rsid w:val="00CC6293"/>
    <w:rsid w:val="00CF5700"/>
    <w:rsid w:val="00D606EF"/>
    <w:rsid w:val="00DA49C4"/>
    <w:rsid w:val="00DE2F5B"/>
    <w:rsid w:val="00EA3B6F"/>
    <w:rsid w:val="00F35029"/>
    <w:rsid w:val="00F4535B"/>
    <w:rsid w:val="00F853AE"/>
    <w:rsid w:val="00F859D3"/>
    <w:rsid w:val="00FA0883"/>
    <w:rsid w:val="00FA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00"/>
    <w:pPr>
      <w:suppressAutoHyphens/>
      <w:spacing w:after="144" w:line="271" w:lineRule="auto"/>
    </w:pPr>
    <w:rPr>
      <w:rFonts w:ascii="Book Antiqua" w:eastAsia="Times New Roman" w:hAnsi="Book Antiqua" w:cs="Times New Roman"/>
      <w:color w:val="5E6061"/>
      <w:sz w:val="20"/>
      <w:szCs w:val="24"/>
    </w:rPr>
  </w:style>
  <w:style w:type="paragraph" w:styleId="Heading3">
    <w:name w:val="heading 3"/>
    <w:basedOn w:val="Normal"/>
    <w:next w:val="BodyText"/>
    <w:link w:val="Heading3Char"/>
    <w:autoRedefine/>
    <w:qFormat/>
    <w:rsid w:val="00CF5700"/>
    <w:pPr>
      <w:keepNext/>
      <w:keepLines/>
      <w:numPr>
        <w:ilvl w:val="2"/>
        <w:numId w:val="1"/>
      </w:numPr>
      <w:tabs>
        <w:tab w:val="clear" w:pos="2700"/>
        <w:tab w:val="num" w:pos="1080"/>
      </w:tabs>
      <w:spacing w:before="80" w:after="80"/>
      <w:ind w:left="180" w:firstLine="540"/>
      <w:outlineLvl w:val="2"/>
    </w:pPr>
    <w:rPr>
      <w:rFonts w:ascii="Arial Narrow" w:hAnsi="Arial Narrow"/>
      <w:b/>
      <w:color w:val="auto"/>
      <w:sz w:val="28"/>
    </w:rPr>
  </w:style>
  <w:style w:type="paragraph" w:styleId="Heading4">
    <w:name w:val="heading 4"/>
    <w:basedOn w:val="Normal"/>
    <w:next w:val="BodyText"/>
    <w:link w:val="Heading4Char"/>
    <w:qFormat/>
    <w:rsid w:val="00CF5700"/>
    <w:pPr>
      <w:keepNext/>
      <w:keepLines/>
      <w:numPr>
        <w:ilvl w:val="3"/>
        <w:numId w:val="1"/>
      </w:numPr>
      <w:spacing w:before="80" w:after="80"/>
      <w:outlineLvl w:val="3"/>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5700"/>
    <w:rPr>
      <w:rFonts w:ascii="Arial Narrow" w:eastAsia="Times New Roman" w:hAnsi="Arial Narrow" w:cs="Times New Roman"/>
      <w:b/>
      <w:sz w:val="28"/>
      <w:szCs w:val="24"/>
    </w:rPr>
  </w:style>
  <w:style w:type="character" w:customStyle="1" w:styleId="Heading4Char">
    <w:name w:val="Heading 4 Char"/>
    <w:basedOn w:val="DefaultParagraphFont"/>
    <w:link w:val="Heading4"/>
    <w:rsid w:val="00CF5700"/>
    <w:rPr>
      <w:rFonts w:ascii="Arial Narrow" w:eastAsia="Times New Roman" w:hAnsi="Arial Narrow" w:cs="Times New Roman"/>
      <w:b/>
      <w:color w:val="5E6061"/>
      <w:sz w:val="24"/>
      <w:szCs w:val="24"/>
    </w:rPr>
  </w:style>
  <w:style w:type="paragraph" w:styleId="BodyText">
    <w:name w:val="Body Text"/>
    <w:basedOn w:val="Normal"/>
    <w:link w:val="BodyTextChar"/>
    <w:rsid w:val="00CF5700"/>
    <w:pPr>
      <w:spacing w:after="160" w:line="240" w:lineRule="auto"/>
    </w:pPr>
    <w:rPr>
      <w:rFonts w:ascii="Times New Roman" w:hAnsi="Times New Roman"/>
      <w:color w:val="auto"/>
      <w:sz w:val="24"/>
    </w:rPr>
  </w:style>
  <w:style w:type="character" w:customStyle="1" w:styleId="BodyTextChar">
    <w:name w:val="Body Text Char"/>
    <w:basedOn w:val="DefaultParagraphFont"/>
    <w:link w:val="BodyText"/>
    <w:rsid w:val="00CF570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CF5700"/>
    <w:rPr>
      <w:rFonts w:ascii="Arial" w:hAnsi="Arial"/>
      <w:color w:val="FF0000"/>
      <w:position w:val="6"/>
      <w:sz w:val="20"/>
    </w:rPr>
  </w:style>
  <w:style w:type="paragraph" w:styleId="CommentText">
    <w:name w:val="annotation text"/>
    <w:basedOn w:val="Normal"/>
    <w:link w:val="CommentTextChar"/>
    <w:uiPriority w:val="99"/>
    <w:rsid w:val="00CF5700"/>
    <w:pPr>
      <w:spacing w:before="120"/>
    </w:pPr>
    <w:rPr>
      <w:rFonts w:ascii="Arial" w:hAnsi="Arial"/>
    </w:rPr>
  </w:style>
  <w:style w:type="character" w:customStyle="1" w:styleId="CommentTextChar">
    <w:name w:val="Comment Text Char"/>
    <w:basedOn w:val="DefaultParagraphFont"/>
    <w:link w:val="CommentText"/>
    <w:uiPriority w:val="99"/>
    <w:rsid w:val="00CF5700"/>
    <w:rPr>
      <w:rFonts w:ascii="Arial" w:eastAsia="Times New Roman" w:hAnsi="Arial" w:cs="Times New Roman"/>
      <w:color w:val="5E6061"/>
      <w:sz w:val="20"/>
      <w:szCs w:val="24"/>
    </w:rPr>
  </w:style>
  <w:style w:type="character" w:customStyle="1" w:styleId="Heading2NewChar">
    <w:name w:val="Heading 2 New Char"/>
    <w:basedOn w:val="DefaultParagraphFont"/>
    <w:link w:val="Heading2New"/>
    <w:rsid w:val="00F4535B"/>
    <w:rPr>
      <w:rFonts w:ascii="Arial Narrow" w:hAnsi="Arial Narrow"/>
      <w:b/>
      <w:bCs/>
      <w:sz w:val="36"/>
      <w:szCs w:val="24"/>
    </w:rPr>
  </w:style>
  <w:style w:type="paragraph" w:customStyle="1" w:styleId="Number">
    <w:name w:val="Number"/>
    <w:basedOn w:val="BodyText"/>
    <w:next w:val="BodyText"/>
    <w:rsid w:val="00CF5700"/>
    <w:pPr>
      <w:spacing w:after="0"/>
      <w:ind w:left="360" w:hanging="360"/>
    </w:pPr>
  </w:style>
  <w:style w:type="paragraph" w:customStyle="1" w:styleId="Heading2New">
    <w:name w:val="Heading 2 New"/>
    <w:basedOn w:val="Normal"/>
    <w:link w:val="Heading2NewChar"/>
    <w:autoRedefine/>
    <w:rsid w:val="00F4535B"/>
    <w:pPr>
      <w:keepNext/>
      <w:keepLines/>
      <w:spacing w:before="160" w:after="160"/>
      <w:jc w:val="center"/>
      <w:outlineLvl w:val="1"/>
    </w:pPr>
    <w:rPr>
      <w:rFonts w:ascii="Arial Narrow" w:eastAsiaTheme="minorHAnsi" w:hAnsi="Arial Narrow" w:cstheme="minorBidi"/>
      <w:b/>
      <w:bCs/>
      <w:color w:val="auto"/>
      <w:sz w:val="36"/>
    </w:rPr>
  </w:style>
  <w:style w:type="paragraph" w:styleId="BalloonText">
    <w:name w:val="Balloon Text"/>
    <w:basedOn w:val="Normal"/>
    <w:link w:val="BalloonTextChar"/>
    <w:uiPriority w:val="99"/>
    <w:semiHidden/>
    <w:unhideWhenUsed/>
    <w:rsid w:val="00CF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00"/>
    <w:rPr>
      <w:rFonts w:ascii="Tahoma" w:eastAsia="Times New Roman" w:hAnsi="Tahoma" w:cs="Tahoma"/>
      <w:color w:val="5E6061"/>
      <w:sz w:val="16"/>
      <w:szCs w:val="16"/>
    </w:rPr>
  </w:style>
  <w:style w:type="paragraph" w:styleId="CommentSubject">
    <w:name w:val="annotation subject"/>
    <w:basedOn w:val="CommentText"/>
    <w:next w:val="CommentText"/>
    <w:link w:val="CommentSubjectChar"/>
    <w:uiPriority w:val="99"/>
    <w:semiHidden/>
    <w:unhideWhenUsed/>
    <w:rsid w:val="00CF5700"/>
    <w:pPr>
      <w:spacing w:before="0" w:line="240" w:lineRule="auto"/>
    </w:pPr>
    <w:rPr>
      <w:rFonts w:ascii="Book Antiqua" w:hAnsi="Book Antiqua"/>
      <w:b/>
      <w:bCs/>
      <w:szCs w:val="20"/>
    </w:rPr>
  </w:style>
  <w:style w:type="character" w:customStyle="1" w:styleId="CommentSubjectChar">
    <w:name w:val="Comment Subject Char"/>
    <w:basedOn w:val="CommentTextChar"/>
    <w:link w:val="CommentSubject"/>
    <w:uiPriority w:val="99"/>
    <w:semiHidden/>
    <w:rsid w:val="00CF5700"/>
    <w:rPr>
      <w:rFonts w:ascii="Book Antiqua" w:eastAsia="Times New Roman" w:hAnsi="Book Antiqua" w:cs="Times New Roman"/>
      <w:b/>
      <w:bCs/>
      <w:color w:val="5E6061"/>
      <w:sz w:val="20"/>
      <w:szCs w:val="20"/>
    </w:rPr>
  </w:style>
  <w:style w:type="paragraph" w:styleId="Header">
    <w:name w:val="header"/>
    <w:basedOn w:val="Normal"/>
    <w:link w:val="HeaderChar"/>
    <w:uiPriority w:val="99"/>
    <w:unhideWhenUsed/>
    <w:rsid w:val="00A44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31"/>
    <w:rPr>
      <w:rFonts w:ascii="Book Antiqua" w:eastAsia="Times New Roman" w:hAnsi="Book Antiqua" w:cs="Times New Roman"/>
      <w:color w:val="5E6061"/>
      <w:sz w:val="20"/>
      <w:szCs w:val="24"/>
    </w:rPr>
  </w:style>
  <w:style w:type="paragraph" w:styleId="Footer">
    <w:name w:val="footer"/>
    <w:basedOn w:val="Normal"/>
    <w:link w:val="FooterChar"/>
    <w:uiPriority w:val="99"/>
    <w:unhideWhenUsed/>
    <w:rsid w:val="00A4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31"/>
    <w:rPr>
      <w:rFonts w:ascii="Book Antiqua" w:eastAsia="Times New Roman" w:hAnsi="Book Antiqua" w:cs="Times New Roman"/>
      <w:color w:val="5E606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00"/>
    <w:pPr>
      <w:suppressAutoHyphens/>
      <w:spacing w:after="144" w:line="271" w:lineRule="auto"/>
    </w:pPr>
    <w:rPr>
      <w:rFonts w:ascii="Book Antiqua" w:eastAsia="Times New Roman" w:hAnsi="Book Antiqua" w:cs="Times New Roman"/>
      <w:color w:val="5E6061"/>
      <w:sz w:val="20"/>
      <w:szCs w:val="24"/>
    </w:rPr>
  </w:style>
  <w:style w:type="paragraph" w:styleId="Heading3">
    <w:name w:val="heading 3"/>
    <w:basedOn w:val="Normal"/>
    <w:next w:val="BodyText"/>
    <w:link w:val="Heading3Char"/>
    <w:autoRedefine/>
    <w:qFormat/>
    <w:rsid w:val="00CF5700"/>
    <w:pPr>
      <w:keepNext/>
      <w:keepLines/>
      <w:numPr>
        <w:ilvl w:val="2"/>
        <w:numId w:val="1"/>
      </w:numPr>
      <w:tabs>
        <w:tab w:val="clear" w:pos="2700"/>
        <w:tab w:val="num" w:pos="1080"/>
      </w:tabs>
      <w:spacing w:before="80" w:after="80"/>
      <w:ind w:left="180" w:firstLine="540"/>
      <w:outlineLvl w:val="2"/>
    </w:pPr>
    <w:rPr>
      <w:rFonts w:ascii="Arial Narrow" w:hAnsi="Arial Narrow"/>
      <w:b/>
      <w:color w:val="auto"/>
      <w:sz w:val="28"/>
    </w:rPr>
  </w:style>
  <w:style w:type="paragraph" w:styleId="Heading4">
    <w:name w:val="heading 4"/>
    <w:basedOn w:val="Normal"/>
    <w:next w:val="BodyText"/>
    <w:link w:val="Heading4Char"/>
    <w:qFormat/>
    <w:rsid w:val="00CF5700"/>
    <w:pPr>
      <w:keepNext/>
      <w:keepLines/>
      <w:numPr>
        <w:ilvl w:val="3"/>
        <w:numId w:val="1"/>
      </w:numPr>
      <w:spacing w:before="80" w:after="80"/>
      <w:outlineLvl w:val="3"/>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5700"/>
    <w:rPr>
      <w:rFonts w:ascii="Arial Narrow" w:eastAsia="Times New Roman" w:hAnsi="Arial Narrow" w:cs="Times New Roman"/>
      <w:b/>
      <w:sz w:val="28"/>
      <w:szCs w:val="24"/>
    </w:rPr>
  </w:style>
  <w:style w:type="character" w:customStyle="1" w:styleId="Heading4Char">
    <w:name w:val="Heading 4 Char"/>
    <w:basedOn w:val="DefaultParagraphFont"/>
    <w:link w:val="Heading4"/>
    <w:rsid w:val="00CF5700"/>
    <w:rPr>
      <w:rFonts w:ascii="Arial Narrow" w:eastAsia="Times New Roman" w:hAnsi="Arial Narrow" w:cs="Times New Roman"/>
      <w:b/>
      <w:color w:val="5E6061"/>
      <w:sz w:val="24"/>
      <w:szCs w:val="24"/>
    </w:rPr>
  </w:style>
  <w:style w:type="paragraph" w:styleId="BodyText">
    <w:name w:val="Body Text"/>
    <w:basedOn w:val="Normal"/>
    <w:link w:val="BodyTextChar"/>
    <w:rsid w:val="00CF5700"/>
    <w:pPr>
      <w:spacing w:after="160" w:line="240" w:lineRule="auto"/>
    </w:pPr>
    <w:rPr>
      <w:rFonts w:ascii="Times New Roman" w:hAnsi="Times New Roman"/>
      <w:color w:val="auto"/>
      <w:sz w:val="24"/>
    </w:rPr>
  </w:style>
  <w:style w:type="character" w:customStyle="1" w:styleId="BodyTextChar">
    <w:name w:val="Body Text Char"/>
    <w:basedOn w:val="DefaultParagraphFont"/>
    <w:link w:val="BodyText"/>
    <w:rsid w:val="00CF570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CF5700"/>
    <w:rPr>
      <w:rFonts w:ascii="Arial" w:hAnsi="Arial"/>
      <w:color w:val="FF0000"/>
      <w:position w:val="6"/>
      <w:sz w:val="20"/>
    </w:rPr>
  </w:style>
  <w:style w:type="paragraph" w:styleId="CommentText">
    <w:name w:val="annotation text"/>
    <w:basedOn w:val="Normal"/>
    <w:link w:val="CommentTextChar"/>
    <w:uiPriority w:val="99"/>
    <w:rsid w:val="00CF5700"/>
    <w:pPr>
      <w:spacing w:before="120"/>
    </w:pPr>
    <w:rPr>
      <w:rFonts w:ascii="Arial" w:hAnsi="Arial"/>
    </w:rPr>
  </w:style>
  <w:style w:type="character" w:customStyle="1" w:styleId="CommentTextChar">
    <w:name w:val="Comment Text Char"/>
    <w:basedOn w:val="DefaultParagraphFont"/>
    <w:link w:val="CommentText"/>
    <w:uiPriority w:val="99"/>
    <w:rsid w:val="00CF5700"/>
    <w:rPr>
      <w:rFonts w:ascii="Arial" w:eastAsia="Times New Roman" w:hAnsi="Arial" w:cs="Times New Roman"/>
      <w:color w:val="5E6061"/>
      <w:sz w:val="20"/>
      <w:szCs w:val="24"/>
    </w:rPr>
  </w:style>
  <w:style w:type="character" w:customStyle="1" w:styleId="Heading2NewChar">
    <w:name w:val="Heading 2 New Char"/>
    <w:basedOn w:val="DefaultParagraphFont"/>
    <w:link w:val="Heading2New"/>
    <w:rsid w:val="00F4535B"/>
    <w:rPr>
      <w:rFonts w:ascii="Arial Narrow" w:hAnsi="Arial Narrow"/>
      <w:b/>
      <w:bCs/>
      <w:sz w:val="36"/>
      <w:szCs w:val="24"/>
    </w:rPr>
  </w:style>
  <w:style w:type="paragraph" w:customStyle="1" w:styleId="Number">
    <w:name w:val="Number"/>
    <w:basedOn w:val="BodyText"/>
    <w:next w:val="BodyText"/>
    <w:rsid w:val="00CF5700"/>
    <w:pPr>
      <w:spacing w:after="0"/>
      <w:ind w:left="360" w:hanging="360"/>
    </w:pPr>
  </w:style>
  <w:style w:type="paragraph" w:customStyle="1" w:styleId="Heading2New">
    <w:name w:val="Heading 2 New"/>
    <w:basedOn w:val="Normal"/>
    <w:link w:val="Heading2NewChar"/>
    <w:autoRedefine/>
    <w:rsid w:val="00F4535B"/>
    <w:pPr>
      <w:keepNext/>
      <w:keepLines/>
      <w:spacing w:before="160" w:after="160"/>
      <w:jc w:val="center"/>
      <w:outlineLvl w:val="1"/>
    </w:pPr>
    <w:rPr>
      <w:rFonts w:ascii="Arial Narrow" w:eastAsiaTheme="minorHAnsi" w:hAnsi="Arial Narrow" w:cstheme="minorBidi"/>
      <w:b/>
      <w:bCs/>
      <w:color w:val="auto"/>
      <w:sz w:val="36"/>
    </w:rPr>
  </w:style>
  <w:style w:type="paragraph" w:styleId="BalloonText">
    <w:name w:val="Balloon Text"/>
    <w:basedOn w:val="Normal"/>
    <w:link w:val="BalloonTextChar"/>
    <w:uiPriority w:val="99"/>
    <w:semiHidden/>
    <w:unhideWhenUsed/>
    <w:rsid w:val="00CF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00"/>
    <w:rPr>
      <w:rFonts w:ascii="Tahoma" w:eastAsia="Times New Roman" w:hAnsi="Tahoma" w:cs="Tahoma"/>
      <w:color w:val="5E6061"/>
      <w:sz w:val="16"/>
      <w:szCs w:val="16"/>
    </w:rPr>
  </w:style>
  <w:style w:type="paragraph" w:styleId="CommentSubject">
    <w:name w:val="annotation subject"/>
    <w:basedOn w:val="CommentText"/>
    <w:next w:val="CommentText"/>
    <w:link w:val="CommentSubjectChar"/>
    <w:uiPriority w:val="99"/>
    <w:semiHidden/>
    <w:unhideWhenUsed/>
    <w:rsid w:val="00CF5700"/>
    <w:pPr>
      <w:spacing w:before="0" w:line="240" w:lineRule="auto"/>
    </w:pPr>
    <w:rPr>
      <w:rFonts w:ascii="Book Antiqua" w:hAnsi="Book Antiqua"/>
      <w:b/>
      <w:bCs/>
      <w:szCs w:val="20"/>
    </w:rPr>
  </w:style>
  <w:style w:type="character" w:customStyle="1" w:styleId="CommentSubjectChar">
    <w:name w:val="Comment Subject Char"/>
    <w:basedOn w:val="CommentTextChar"/>
    <w:link w:val="CommentSubject"/>
    <w:uiPriority w:val="99"/>
    <w:semiHidden/>
    <w:rsid w:val="00CF5700"/>
    <w:rPr>
      <w:rFonts w:ascii="Book Antiqua" w:eastAsia="Times New Roman" w:hAnsi="Book Antiqua" w:cs="Times New Roman"/>
      <w:b/>
      <w:bCs/>
      <w:color w:val="5E6061"/>
      <w:sz w:val="20"/>
      <w:szCs w:val="20"/>
    </w:rPr>
  </w:style>
  <w:style w:type="paragraph" w:styleId="Header">
    <w:name w:val="header"/>
    <w:basedOn w:val="Normal"/>
    <w:link w:val="HeaderChar"/>
    <w:uiPriority w:val="99"/>
    <w:unhideWhenUsed/>
    <w:rsid w:val="00A44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31"/>
    <w:rPr>
      <w:rFonts w:ascii="Book Antiqua" w:eastAsia="Times New Roman" w:hAnsi="Book Antiqua" w:cs="Times New Roman"/>
      <w:color w:val="5E6061"/>
      <w:sz w:val="20"/>
      <w:szCs w:val="24"/>
    </w:rPr>
  </w:style>
  <w:style w:type="paragraph" w:styleId="Footer">
    <w:name w:val="footer"/>
    <w:basedOn w:val="Normal"/>
    <w:link w:val="FooterChar"/>
    <w:uiPriority w:val="99"/>
    <w:unhideWhenUsed/>
    <w:rsid w:val="00A4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31"/>
    <w:rPr>
      <w:rFonts w:ascii="Book Antiqua" w:eastAsia="Times New Roman" w:hAnsi="Book Antiqua" w:cs="Times New Roman"/>
      <w:color w:val="5E606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0689C-D970-435F-8870-84B07F5A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1464</Words>
  <Characters>7982</Characters>
  <Application>Microsoft Office Word</Application>
  <DocSecurity>0</DocSecurity>
  <Lines>190</Lines>
  <Paragraphs>71</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Lyell</dc:creator>
  <cp:lastModifiedBy>Andrews, Ian</cp:lastModifiedBy>
  <cp:revision>2</cp:revision>
  <cp:lastPrinted>2015-01-07T21:40:00Z</cp:lastPrinted>
  <dcterms:created xsi:type="dcterms:W3CDTF">2016-04-01T23:47:00Z</dcterms:created>
  <dcterms:modified xsi:type="dcterms:W3CDTF">2016-04-01T23:47:00Z</dcterms:modified>
</cp:coreProperties>
</file>