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B00C" w14:textId="78FE1E1D" w:rsidR="00FA19D2" w:rsidRPr="00C440FC" w:rsidRDefault="00C440FC" w:rsidP="00C440FC">
      <w:pPr>
        <w:rPr>
          <w:b/>
        </w:rPr>
      </w:pPr>
      <w:r w:rsidRPr="00C440FC">
        <w:rPr>
          <w:b/>
        </w:rPr>
        <w:t>OEIS</w:t>
      </w:r>
      <w:r w:rsidR="00F240EE" w:rsidRPr="00C440FC">
        <w:rPr>
          <w:b/>
        </w:rPr>
        <w:t xml:space="preserve"> </w:t>
      </w:r>
      <w:r w:rsidR="00641734" w:rsidRPr="00C440FC">
        <w:rPr>
          <w:b/>
        </w:rPr>
        <w:t>Data</w:t>
      </w:r>
      <w:r w:rsidR="005124F5" w:rsidRPr="00C440FC">
        <w:rPr>
          <w:b/>
        </w:rPr>
        <w:t xml:space="preserve"> Request </w:t>
      </w:r>
      <w:r w:rsidR="006D0770" w:rsidRPr="00C440FC">
        <w:rPr>
          <w:b/>
        </w:rPr>
        <w:t>1</w:t>
      </w:r>
      <w:r w:rsidR="00822CF4" w:rsidRPr="00C440FC">
        <w:rPr>
          <w:b/>
        </w:rPr>
        <w:t>.</w:t>
      </w:r>
      <w:r w:rsidR="00F053FC">
        <w:rPr>
          <w:b/>
        </w:rPr>
        <w:t>3</w:t>
      </w:r>
    </w:p>
    <w:p w14:paraId="15072E8B" w14:textId="77777777" w:rsidR="009F523A" w:rsidRPr="00C440FC" w:rsidRDefault="009F523A" w:rsidP="00C440FC">
      <w:pPr>
        <w:rPr>
          <w:b/>
        </w:rPr>
      </w:pPr>
    </w:p>
    <w:p w14:paraId="3DDB1560" w14:textId="28D0DC17" w:rsidR="001B2A83" w:rsidRPr="001B2A83" w:rsidRDefault="00F053FC" w:rsidP="001B2A83">
      <w:pPr>
        <w:autoSpaceDE w:val="0"/>
        <w:autoSpaceDN w:val="0"/>
        <w:adjustRightInd w:val="0"/>
        <w:ind w:left="720"/>
        <w:rPr>
          <w:rFonts w:eastAsiaTheme="minorHAnsi"/>
        </w:rPr>
      </w:pPr>
      <w:r w:rsidRPr="001B2A83">
        <w:rPr>
          <w:rFonts w:eastAsiaTheme="minorHAnsi"/>
          <w:b/>
          <w:bCs/>
        </w:rPr>
        <w:t>PacifiCorp’s Vegetation Clearance – Transmission Expenditure Changes (VM-07):</w:t>
      </w:r>
      <w:r w:rsidR="001B2A83" w:rsidRPr="001B2A83">
        <w:rPr>
          <w:rFonts w:eastAsiaTheme="minorHAnsi"/>
        </w:rPr>
        <w:t xml:space="preserve"> </w:t>
      </w:r>
      <w:r w:rsidRPr="001B2A83">
        <w:rPr>
          <w:rFonts w:eastAsiaTheme="minorHAnsi"/>
        </w:rPr>
        <w:t>In its 2025 WMP Update, PacifiCorp includes a 61 percent increase in its 2025 projected</w:t>
      </w:r>
      <w:r w:rsidR="001B2A83" w:rsidRPr="001B2A83">
        <w:rPr>
          <w:rFonts w:eastAsiaTheme="minorHAnsi"/>
        </w:rPr>
        <w:t xml:space="preserve"> </w:t>
      </w:r>
      <w:r w:rsidRPr="001B2A83">
        <w:rPr>
          <w:rFonts w:eastAsiaTheme="minorHAnsi"/>
        </w:rPr>
        <w:t>expenditure for vegetation clearance - transmission (VM-07) with the explanation “the</w:t>
      </w:r>
      <w:r w:rsidR="001B2A83" w:rsidRPr="001B2A83">
        <w:rPr>
          <w:rFonts w:eastAsiaTheme="minorHAnsi"/>
        </w:rPr>
        <w:t xml:space="preserve"> </w:t>
      </w:r>
      <w:r w:rsidRPr="001B2A83">
        <w:rPr>
          <w:rFonts w:eastAsiaTheme="minorHAnsi"/>
        </w:rPr>
        <w:t>inclusion of the HFRA areas described in the risk model updates, the costs are forecasted to increase</w:t>
      </w:r>
      <w:r w:rsidR="001B2A83" w:rsidRPr="001B2A83">
        <w:rPr>
          <w:rFonts w:eastAsiaTheme="minorHAnsi"/>
        </w:rPr>
        <w:t>”.</w:t>
      </w:r>
      <w:r w:rsidRPr="001B2A83">
        <w:rPr>
          <w:rFonts w:eastAsiaTheme="minorHAnsi"/>
        </w:rPr>
        <w:t xml:space="preserve"> However, the addition of the HFRA results in a nearly 35 percent increase in transmission circuit miles</w:t>
      </w:r>
      <w:r w:rsidR="001B2A83" w:rsidRPr="001B2A83">
        <w:rPr>
          <w:rFonts w:eastAsiaTheme="minorHAnsi"/>
        </w:rPr>
        <w:t>.</w:t>
      </w:r>
      <w:r w:rsidR="001B2A83" w:rsidRPr="001B2A83">
        <w:rPr>
          <w:rFonts w:eastAsiaTheme="minorHAnsi"/>
        </w:rPr>
        <w:br/>
      </w:r>
    </w:p>
    <w:p w14:paraId="10A7491B" w14:textId="5B7F25DC" w:rsidR="001B2A83" w:rsidRPr="001B2A83" w:rsidRDefault="00F053FC" w:rsidP="001B2A83">
      <w:pPr>
        <w:pStyle w:val="ListParagraph"/>
        <w:numPr>
          <w:ilvl w:val="0"/>
          <w:numId w:val="14"/>
        </w:numPr>
        <w:autoSpaceDE w:val="0"/>
        <w:autoSpaceDN w:val="0"/>
        <w:adjustRightInd w:val="0"/>
        <w:spacing w:line="240" w:lineRule="auto"/>
        <w:ind w:left="1080" w:hanging="360"/>
        <w:rPr>
          <w:rFonts w:ascii="Times New Roman" w:hAnsi="Times New Roman" w:cs="Times New Roman"/>
          <w:sz w:val="24"/>
          <w:szCs w:val="24"/>
        </w:rPr>
      </w:pPr>
      <w:r w:rsidRPr="001B2A83">
        <w:rPr>
          <w:rFonts w:ascii="Times New Roman" w:hAnsi="Times New Roman" w:cs="Times New Roman"/>
          <w:sz w:val="24"/>
          <w:szCs w:val="24"/>
        </w:rPr>
        <w:t>Explain how PacifiCorp forecasts expenditure for its Vegetation Clearance –Transmission initiative.</w:t>
      </w:r>
      <w:r w:rsidR="001B2A83">
        <w:rPr>
          <w:rFonts w:ascii="Times New Roman" w:hAnsi="Times New Roman" w:cs="Times New Roman"/>
          <w:sz w:val="24"/>
          <w:szCs w:val="24"/>
        </w:rPr>
        <w:br/>
      </w:r>
    </w:p>
    <w:p w14:paraId="19C848A2" w14:textId="6E965295" w:rsidR="00F053FC" w:rsidRPr="001B2A83" w:rsidRDefault="00F053FC" w:rsidP="001B2A83">
      <w:pPr>
        <w:pStyle w:val="ListParagraph"/>
        <w:numPr>
          <w:ilvl w:val="0"/>
          <w:numId w:val="14"/>
        </w:numPr>
        <w:autoSpaceDE w:val="0"/>
        <w:autoSpaceDN w:val="0"/>
        <w:adjustRightInd w:val="0"/>
        <w:spacing w:line="240" w:lineRule="auto"/>
        <w:ind w:left="1080" w:hanging="360"/>
        <w:rPr>
          <w:rFonts w:ascii="Times New Roman" w:hAnsi="Times New Roman" w:cs="Times New Roman"/>
          <w:sz w:val="24"/>
          <w:szCs w:val="24"/>
        </w:rPr>
      </w:pPr>
      <w:r w:rsidRPr="001B2A83">
        <w:rPr>
          <w:rFonts w:ascii="Times New Roman" w:hAnsi="Times New Roman" w:cs="Times New Roman"/>
          <w:sz w:val="24"/>
          <w:szCs w:val="24"/>
        </w:rPr>
        <w:t>Explain how a 35 percent increase in number of circuit miles for this initiative translates to a 61 percent expenditure increase (e.g., include in your explanation information on deferred maintenance on newly scoped circuit miles, one-time cost for expanding clearances in newly scoped circuit miles, etc.).</w:t>
      </w:r>
    </w:p>
    <w:p w14:paraId="78FC70E8" w14:textId="00F54D34" w:rsidR="007A5C07" w:rsidRPr="001B2A83" w:rsidRDefault="007A5C07" w:rsidP="001B2A83">
      <w:pPr>
        <w:rPr>
          <w:b/>
        </w:rPr>
      </w:pPr>
      <w:r w:rsidRPr="001B2A83">
        <w:rPr>
          <w:b/>
        </w:rPr>
        <w:t>Response</w:t>
      </w:r>
      <w:r w:rsidR="00200B1A" w:rsidRPr="001B2A83">
        <w:rPr>
          <w:b/>
        </w:rPr>
        <w:t xml:space="preserve"> to </w:t>
      </w:r>
      <w:r w:rsidR="00C440FC" w:rsidRPr="001B2A83">
        <w:rPr>
          <w:b/>
        </w:rPr>
        <w:t>OEIS</w:t>
      </w:r>
      <w:r w:rsidR="00AE3C4A" w:rsidRPr="001B2A83">
        <w:rPr>
          <w:b/>
        </w:rPr>
        <w:t xml:space="preserve"> </w:t>
      </w:r>
      <w:r w:rsidR="00641734" w:rsidRPr="001B2A83">
        <w:rPr>
          <w:b/>
        </w:rPr>
        <w:t xml:space="preserve">Data </w:t>
      </w:r>
      <w:r w:rsidR="008422EC" w:rsidRPr="001B2A83">
        <w:rPr>
          <w:b/>
        </w:rPr>
        <w:t xml:space="preserve">Request </w:t>
      </w:r>
      <w:r w:rsidR="006D0770" w:rsidRPr="001B2A83">
        <w:rPr>
          <w:b/>
        </w:rPr>
        <w:t>1</w:t>
      </w:r>
      <w:r w:rsidR="00822CF4" w:rsidRPr="001B2A83">
        <w:rPr>
          <w:b/>
        </w:rPr>
        <w:t>.</w:t>
      </w:r>
      <w:r w:rsidR="00F053FC" w:rsidRPr="001B2A83">
        <w:rPr>
          <w:b/>
        </w:rPr>
        <w:t>3</w:t>
      </w:r>
    </w:p>
    <w:p w14:paraId="30675CB1" w14:textId="77777777" w:rsidR="00446A89" w:rsidRPr="00AB579F" w:rsidRDefault="00446A89" w:rsidP="002678C2">
      <w:pPr>
        <w:ind w:left="720"/>
        <w:rPr>
          <w:iCs/>
          <w:sz w:val="28"/>
          <w:szCs w:val="28"/>
        </w:rPr>
      </w:pPr>
    </w:p>
    <w:p w14:paraId="43B93E00" w14:textId="6D640C75" w:rsidR="00446A89" w:rsidRPr="00AB579F" w:rsidRDefault="00AB579F" w:rsidP="008807BE">
      <w:pPr>
        <w:pStyle w:val="ListParagraph"/>
        <w:numPr>
          <w:ilvl w:val="0"/>
          <w:numId w:val="15"/>
        </w:numPr>
        <w:spacing w:after="0" w:line="240" w:lineRule="auto"/>
        <w:rPr>
          <w:rFonts w:ascii="Times New Roman" w:hAnsi="Times New Roman" w:cs="Times New Roman"/>
          <w:iCs/>
          <w:sz w:val="24"/>
          <w:szCs w:val="24"/>
        </w:rPr>
      </w:pPr>
      <w:r w:rsidRPr="00AB579F">
        <w:rPr>
          <w:rFonts w:ascii="Times New Roman" w:hAnsi="Times New Roman" w:cs="Times New Roman"/>
          <w:iCs/>
          <w:sz w:val="24"/>
          <w:szCs w:val="24"/>
        </w:rPr>
        <w:t xml:space="preserve">PacifiCorp forecasts costs based on actuals of the previous year applied to the forecasted number of units (miles) to be worked as part of maintenance actions plus specific estimates for transmission right-of-way </w:t>
      </w:r>
      <w:r w:rsidR="00B25DA0">
        <w:rPr>
          <w:rFonts w:ascii="Times New Roman" w:hAnsi="Times New Roman" w:cs="Times New Roman"/>
          <w:iCs/>
          <w:sz w:val="24"/>
          <w:szCs w:val="24"/>
        </w:rPr>
        <w:t xml:space="preserve">(ROW) </w:t>
      </w:r>
      <w:r w:rsidRPr="00AB579F">
        <w:rPr>
          <w:rFonts w:ascii="Times New Roman" w:hAnsi="Times New Roman" w:cs="Times New Roman"/>
          <w:iCs/>
          <w:sz w:val="24"/>
          <w:szCs w:val="24"/>
        </w:rPr>
        <w:t>clearing and treatment projects.</w:t>
      </w:r>
      <w:r w:rsidR="008807BE">
        <w:rPr>
          <w:rFonts w:ascii="Times New Roman" w:hAnsi="Times New Roman" w:cs="Times New Roman"/>
          <w:iCs/>
          <w:sz w:val="24"/>
          <w:szCs w:val="24"/>
        </w:rPr>
        <w:br/>
      </w:r>
    </w:p>
    <w:p w14:paraId="641B58D1" w14:textId="16354990" w:rsidR="00AB579F" w:rsidRPr="00AB579F" w:rsidRDefault="00AB579F" w:rsidP="008807BE">
      <w:pPr>
        <w:pStyle w:val="ListParagraph"/>
        <w:numPr>
          <w:ilvl w:val="0"/>
          <w:numId w:val="15"/>
        </w:numPr>
        <w:spacing w:after="0" w:line="240" w:lineRule="auto"/>
        <w:rPr>
          <w:rFonts w:ascii="Times New Roman" w:hAnsi="Times New Roman" w:cs="Times New Roman"/>
          <w:iCs/>
          <w:sz w:val="24"/>
          <w:szCs w:val="24"/>
        </w:rPr>
      </w:pPr>
      <w:r w:rsidRPr="00AB579F">
        <w:rPr>
          <w:rFonts w:ascii="Times New Roman" w:hAnsi="Times New Roman" w:cs="Times New Roman"/>
          <w:iCs/>
          <w:sz w:val="24"/>
          <w:szCs w:val="24"/>
        </w:rPr>
        <w:t xml:space="preserve">If a portion of a line is within the </w:t>
      </w:r>
      <w:r w:rsidR="00B25DA0">
        <w:rPr>
          <w:rFonts w:ascii="Times New Roman" w:hAnsi="Times New Roman" w:cs="Times New Roman"/>
          <w:iCs/>
          <w:sz w:val="24"/>
          <w:szCs w:val="24"/>
        </w:rPr>
        <w:t>h</w:t>
      </w:r>
      <w:r w:rsidRPr="00AB579F">
        <w:rPr>
          <w:rFonts w:ascii="Times New Roman" w:hAnsi="Times New Roman" w:cs="Times New Roman"/>
          <w:iCs/>
          <w:sz w:val="24"/>
          <w:szCs w:val="24"/>
        </w:rPr>
        <w:t xml:space="preserve">igh </w:t>
      </w:r>
      <w:r w:rsidR="00B25DA0">
        <w:rPr>
          <w:rFonts w:ascii="Times New Roman" w:hAnsi="Times New Roman" w:cs="Times New Roman"/>
          <w:iCs/>
          <w:sz w:val="24"/>
          <w:szCs w:val="24"/>
        </w:rPr>
        <w:t>f</w:t>
      </w:r>
      <w:r w:rsidRPr="00AB579F">
        <w:rPr>
          <w:rFonts w:ascii="Times New Roman" w:hAnsi="Times New Roman" w:cs="Times New Roman"/>
          <w:iCs/>
          <w:sz w:val="24"/>
          <w:szCs w:val="24"/>
        </w:rPr>
        <w:t xml:space="preserve">ire </w:t>
      </w:r>
      <w:r w:rsidR="00B25DA0">
        <w:rPr>
          <w:rFonts w:ascii="Times New Roman" w:hAnsi="Times New Roman" w:cs="Times New Roman"/>
          <w:iCs/>
          <w:sz w:val="24"/>
          <w:szCs w:val="24"/>
        </w:rPr>
        <w:t>t</w:t>
      </w:r>
      <w:r w:rsidRPr="00AB579F">
        <w:rPr>
          <w:rFonts w:ascii="Times New Roman" w:hAnsi="Times New Roman" w:cs="Times New Roman"/>
          <w:iCs/>
          <w:sz w:val="24"/>
          <w:szCs w:val="24"/>
        </w:rPr>
        <w:t xml:space="preserve">hreat </w:t>
      </w:r>
      <w:r w:rsidR="00B25DA0">
        <w:rPr>
          <w:rFonts w:ascii="Times New Roman" w:hAnsi="Times New Roman" w:cs="Times New Roman"/>
          <w:iCs/>
          <w:sz w:val="24"/>
          <w:szCs w:val="24"/>
        </w:rPr>
        <w:t>d</w:t>
      </w:r>
      <w:r w:rsidRPr="00AB579F">
        <w:rPr>
          <w:rFonts w:ascii="Times New Roman" w:hAnsi="Times New Roman" w:cs="Times New Roman"/>
          <w:iCs/>
          <w:sz w:val="24"/>
          <w:szCs w:val="24"/>
        </w:rPr>
        <w:t>istrict (HFTD), PacifiCorp treats the entire line as though it is within HFTD as part of this initiative. Therefore, line miles outside of the HFTD are included in this initiative, which i</w:t>
      </w:r>
      <w:r w:rsidR="003D2935">
        <w:rPr>
          <w:rFonts w:ascii="Times New Roman" w:hAnsi="Times New Roman" w:cs="Times New Roman"/>
          <w:iCs/>
          <w:sz w:val="24"/>
          <w:szCs w:val="24"/>
        </w:rPr>
        <w:t xml:space="preserve">mpacts </w:t>
      </w:r>
      <w:r w:rsidRPr="00AB579F">
        <w:rPr>
          <w:rFonts w:ascii="Times New Roman" w:hAnsi="Times New Roman" w:cs="Times New Roman"/>
          <w:iCs/>
          <w:sz w:val="24"/>
          <w:szCs w:val="24"/>
        </w:rPr>
        <w:t>forecasted expenditures.</w:t>
      </w:r>
    </w:p>
    <w:p w14:paraId="052BAE3C" w14:textId="77777777" w:rsidR="00446A89" w:rsidRDefault="00446A89" w:rsidP="002678C2">
      <w:pPr>
        <w:ind w:left="720"/>
        <w:rPr>
          <w:iCs/>
        </w:rPr>
      </w:pPr>
    </w:p>
    <w:sectPr w:rsidR="00446A8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1553C6A6" w:rsidR="007A5C07" w:rsidRPr="005124F5" w:rsidRDefault="00BE73D3" w:rsidP="007A5C07">
    <w:r>
      <w:t>July 2</w:t>
    </w:r>
    <w:r w:rsidR="00545466">
      <w:t>9</w:t>
    </w:r>
    <w:r>
      <w:t>, 202</w:t>
    </w:r>
    <w:r w:rsidR="00446A89">
      <w:t>4</w:t>
    </w:r>
  </w:p>
  <w:p w14:paraId="2452B3BF" w14:textId="4052F001" w:rsidR="00AB6025" w:rsidRDefault="00446A89" w:rsidP="00AB6025">
    <w:pPr>
      <w:rPr>
        <w:rFonts w:eastAsiaTheme="minorHAnsi"/>
        <w:bCs/>
        <w:color w:val="000000"/>
      </w:rPr>
    </w:pPr>
    <w:r w:rsidRPr="00446A89">
      <w:rPr>
        <w:rFonts w:eastAsiaTheme="minorHAnsi"/>
        <w:bCs/>
        <w:color w:val="000000"/>
      </w:rPr>
      <w:t>OEIS-P-WMP_2024-PC-01</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16064"/>
    <w:multiLevelType w:val="hybridMultilevel"/>
    <w:tmpl w:val="674E90A2"/>
    <w:lvl w:ilvl="0" w:tplc="508C8F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5"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05B1D9F"/>
    <w:multiLevelType w:val="hybridMultilevel"/>
    <w:tmpl w:val="876A63C0"/>
    <w:lvl w:ilvl="0" w:tplc="B52CE2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1"/>
  </w:num>
  <w:num w:numId="3" w16cid:durableId="828256104">
    <w:abstractNumId w:val="11"/>
  </w:num>
  <w:num w:numId="4" w16cid:durableId="170798991">
    <w:abstractNumId w:val="14"/>
  </w:num>
  <w:num w:numId="5" w16cid:durableId="390352810">
    <w:abstractNumId w:val="0"/>
  </w:num>
  <w:num w:numId="6" w16cid:durableId="845822299">
    <w:abstractNumId w:val="2"/>
  </w:num>
  <w:num w:numId="7" w16cid:durableId="440540217">
    <w:abstractNumId w:val="10"/>
  </w:num>
  <w:num w:numId="8" w16cid:durableId="1585647602">
    <w:abstractNumId w:val="9"/>
  </w:num>
  <w:num w:numId="9" w16cid:durableId="160856750">
    <w:abstractNumId w:val="4"/>
  </w:num>
  <w:num w:numId="10" w16cid:durableId="81152084">
    <w:abstractNumId w:val="7"/>
  </w:num>
  <w:num w:numId="11" w16cid:durableId="787621791">
    <w:abstractNumId w:val="5"/>
  </w:num>
  <w:num w:numId="12" w16cid:durableId="1858734263">
    <w:abstractNumId w:val="8"/>
  </w:num>
  <w:num w:numId="13" w16cid:durableId="1607804467">
    <w:abstractNumId w:val="13"/>
  </w:num>
  <w:num w:numId="14" w16cid:durableId="977229207">
    <w:abstractNumId w:val="12"/>
  </w:num>
  <w:num w:numId="15" w16cid:durableId="178549354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2FUmSRgAPdoqoE4dv5tXifLKO7EYOog4kfbG3fHFG2vFALg/e7SWKUVhv2CTH09/Pku6DmlMhfKzkrxoREANmQ==" w:salt="X6aPzpOax9mYTGuzAdM4vg=="/>
  <w:defaultTabStop w:val="720"/>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473C2"/>
    <w:rsid w:val="00064243"/>
    <w:rsid w:val="00066377"/>
    <w:rsid w:val="00073995"/>
    <w:rsid w:val="00074712"/>
    <w:rsid w:val="00081226"/>
    <w:rsid w:val="00086540"/>
    <w:rsid w:val="0009404A"/>
    <w:rsid w:val="000B696A"/>
    <w:rsid w:val="000C1842"/>
    <w:rsid w:val="000C6673"/>
    <w:rsid w:val="000C6A98"/>
    <w:rsid w:val="000D0CA8"/>
    <w:rsid w:val="000D4A17"/>
    <w:rsid w:val="000D5519"/>
    <w:rsid w:val="000E5C80"/>
    <w:rsid w:val="000F00A5"/>
    <w:rsid w:val="000F0C0A"/>
    <w:rsid w:val="000F3A35"/>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2C14"/>
    <w:rsid w:val="00165553"/>
    <w:rsid w:val="00166ABF"/>
    <w:rsid w:val="001674D0"/>
    <w:rsid w:val="00175DD7"/>
    <w:rsid w:val="0017690E"/>
    <w:rsid w:val="00195E17"/>
    <w:rsid w:val="001A39B3"/>
    <w:rsid w:val="001A5C34"/>
    <w:rsid w:val="001B2A83"/>
    <w:rsid w:val="001B3A7A"/>
    <w:rsid w:val="001B3AEE"/>
    <w:rsid w:val="001C2C53"/>
    <w:rsid w:val="001C34A0"/>
    <w:rsid w:val="001D43FA"/>
    <w:rsid w:val="001F7C18"/>
    <w:rsid w:val="002005C6"/>
    <w:rsid w:val="00200B1A"/>
    <w:rsid w:val="00204CE5"/>
    <w:rsid w:val="00213485"/>
    <w:rsid w:val="0023041C"/>
    <w:rsid w:val="002314D3"/>
    <w:rsid w:val="00234A62"/>
    <w:rsid w:val="00235A45"/>
    <w:rsid w:val="00257727"/>
    <w:rsid w:val="00265E16"/>
    <w:rsid w:val="002678C2"/>
    <w:rsid w:val="00270247"/>
    <w:rsid w:val="00280562"/>
    <w:rsid w:val="00280739"/>
    <w:rsid w:val="0028653D"/>
    <w:rsid w:val="00287872"/>
    <w:rsid w:val="002908B3"/>
    <w:rsid w:val="002D1578"/>
    <w:rsid w:val="002D3655"/>
    <w:rsid w:val="002E65CA"/>
    <w:rsid w:val="002F082D"/>
    <w:rsid w:val="00313BD0"/>
    <w:rsid w:val="0031402C"/>
    <w:rsid w:val="00323C1E"/>
    <w:rsid w:val="00323D09"/>
    <w:rsid w:val="00325015"/>
    <w:rsid w:val="00325926"/>
    <w:rsid w:val="00325ACD"/>
    <w:rsid w:val="00331CB1"/>
    <w:rsid w:val="003324D2"/>
    <w:rsid w:val="00333CF5"/>
    <w:rsid w:val="00340BCB"/>
    <w:rsid w:val="00347ED0"/>
    <w:rsid w:val="003712D4"/>
    <w:rsid w:val="00380D14"/>
    <w:rsid w:val="003A3DA6"/>
    <w:rsid w:val="003C01F1"/>
    <w:rsid w:val="003D2935"/>
    <w:rsid w:val="003E76DB"/>
    <w:rsid w:val="003F6B5D"/>
    <w:rsid w:val="00400CEF"/>
    <w:rsid w:val="00401331"/>
    <w:rsid w:val="00435CBD"/>
    <w:rsid w:val="00435F3C"/>
    <w:rsid w:val="004449B3"/>
    <w:rsid w:val="00444FB2"/>
    <w:rsid w:val="00446A89"/>
    <w:rsid w:val="00472A5D"/>
    <w:rsid w:val="004733E8"/>
    <w:rsid w:val="00480D80"/>
    <w:rsid w:val="00483C2E"/>
    <w:rsid w:val="00486A79"/>
    <w:rsid w:val="004906D9"/>
    <w:rsid w:val="00490FCD"/>
    <w:rsid w:val="00492392"/>
    <w:rsid w:val="004B0018"/>
    <w:rsid w:val="004B2C1E"/>
    <w:rsid w:val="004B5F75"/>
    <w:rsid w:val="004C5BCB"/>
    <w:rsid w:val="004C6B04"/>
    <w:rsid w:val="004D32E7"/>
    <w:rsid w:val="004D6E37"/>
    <w:rsid w:val="004D79F9"/>
    <w:rsid w:val="004E3465"/>
    <w:rsid w:val="004E3699"/>
    <w:rsid w:val="004F3466"/>
    <w:rsid w:val="005057F6"/>
    <w:rsid w:val="005124F5"/>
    <w:rsid w:val="0051630A"/>
    <w:rsid w:val="005203EE"/>
    <w:rsid w:val="0053387A"/>
    <w:rsid w:val="0054072C"/>
    <w:rsid w:val="00544031"/>
    <w:rsid w:val="00545466"/>
    <w:rsid w:val="00570C2D"/>
    <w:rsid w:val="00586B1D"/>
    <w:rsid w:val="00593F4E"/>
    <w:rsid w:val="005A5649"/>
    <w:rsid w:val="005A649E"/>
    <w:rsid w:val="005B09C2"/>
    <w:rsid w:val="005B1FD2"/>
    <w:rsid w:val="005B5479"/>
    <w:rsid w:val="005D2EAC"/>
    <w:rsid w:val="005E07E1"/>
    <w:rsid w:val="005F34D8"/>
    <w:rsid w:val="006057EB"/>
    <w:rsid w:val="00615B45"/>
    <w:rsid w:val="006242C9"/>
    <w:rsid w:val="0063180B"/>
    <w:rsid w:val="006364FE"/>
    <w:rsid w:val="00636AAE"/>
    <w:rsid w:val="00637B07"/>
    <w:rsid w:val="00641734"/>
    <w:rsid w:val="00665CBE"/>
    <w:rsid w:val="00666681"/>
    <w:rsid w:val="0067077B"/>
    <w:rsid w:val="006806B6"/>
    <w:rsid w:val="00686890"/>
    <w:rsid w:val="006B569A"/>
    <w:rsid w:val="006C0F00"/>
    <w:rsid w:val="006C58F4"/>
    <w:rsid w:val="006D0770"/>
    <w:rsid w:val="006E046A"/>
    <w:rsid w:val="006F375E"/>
    <w:rsid w:val="006F3F07"/>
    <w:rsid w:val="006F5DE7"/>
    <w:rsid w:val="00701692"/>
    <w:rsid w:val="007046D1"/>
    <w:rsid w:val="00706595"/>
    <w:rsid w:val="0073329A"/>
    <w:rsid w:val="0074101D"/>
    <w:rsid w:val="00741298"/>
    <w:rsid w:val="00742AF5"/>
    <w:rsid w:val="00743DB4"/>
    <w:rsid w:val="00745CFE"/>
    <w:rsid w:val="00747EE2"/>
    <w:rsid w:val="00754013"/>
    <w:rsid w:val="007578AF"/>
    <w:rsid w:val="00757BFB"/>
    <w:rsid w:val="007612C2"/>
    <w:rsid w:val="00773A2C"/>
    <w:rsid w:val="0078100A"/>
    <w:rsid w:val="007813E4"/>
    <w:rsid w:val="00784535"/>
    <w:rsid w:val="00795C52"/>
    <w:rsid w:val="00796157"/>
    <w:rsid w:val="007A1561"/>
    <w:rsid w:val="007A5C07"/>
    <w:rsid w:val="007A73C2"/>
    <w:rsid w:val="007B0024"/>
    <w:rsid w:val="007B5D8A"/>
    <w:rsid w:val="007C35BF"/>
    <w:rsid w:val="007C5814"/>
    <w:rsid w:val="007C6403"/>
    <w:rsid w:val="007D58E0"/>
    <w:rsid w:val="007E6ADF"/>
    <w:rsid w:val="007F7CAE"/>
    <w:rsid w:val="00804A45"/>
    <w:rsid w:val="00814120"/>
    <w:rsid w:val="00822CF4"/>
    <w:rsid w:val="00822DF5"/>
    <w:rsid w:val="0082569F"/>
    <w:rsid w:val="00826A33"/>
    <w:rsid w:val="00833839"/>
    <w:rsid w:val="00836D22"/>
    <w:rsid w:val="008422EC"/>
    <w:rsid w:val="00844DFF"/>
    <w:rsid w:val="00854D09"/>
    <w:rsid w:val="008557AA"/>
    <w:rsid w:val="00857A70"/>
    <w:rsid w:val="00860F27"/>
    <w:rsid w:val="00871C9B"/>
    <w:rsid w:val="00876B78"/>
    <w:rsid w:val="008807BE"/>
    <w:rsid w:val="00881862"/>
    <w:rsid w:val="008828A3"/>
    <w:rsid w:val="00882C70"/>
    <w:rsid w:val="008B3D65"/>
    <w:rsid w:val="008B7C89"/>
    <w:rsid w:val="008C2A72"/>
    <w:rsid w:val="008D2F82"/>
    <w:rsid w:val="008D4B3A"/>
    <w:rsid w:val="008D510F"/>
    <w:rsid w:val="00907A2E"/>
    <w:rsid w:val="009200FF"/>
    <w:rsid w:val="009267C5"/>
    <w:rsid w:val="00932BC3"/>
    <w:rsid w:val="00933F09"/>
    <w:rsid w:val="0093717A"/>
    <w:rsid w:val="00943ED1"/>
    <w:rsid w:val="0095473E"/>
    <w:rsid w:val="00954D9B"/>
    <w:rsid w:val="00961665"/>
    <w:rsid w:val="009644D9"/>
    <w:rsid w:val="00982C84"/>
    <w:rsid w:val="009855B9"/>
    <w:rsid w:val="00985E0F"/>
    <w:rsid w:val="00987276"/>
    <w:rsid w:val="0099703C"/>
    <w:rsid w:val="009A3078"/>
    <w:rsid w:val="009A75A2"/>
    <w:rsid w:val="009B0EE2"/>
    <w:rsid w:val="009D2351"/>
    <w:rsid w:val="009E105E"/>
    <w:rsid w:val="009E13E8"/>
    <w:rsid w:val="009E3905"/>
    <w:rsid w:val="009E56B9"/>
    <w:rsid w:val="009E7A55"/>
    <w:rsid w:val="009F3657"/>
    <w:rsid w:val="009F523A"/>
    <w:rsid w:val="00A107B5"/>
    <w:rsid w:val="00A12E95"/>
    <w:rsid w:val="00A1477C"/>
    <w:rsid w:val="00A24C47"/>
    <w:rsid w:val="00A303A5"/>
    <w:rsid w:val="00A32A95"/>
    <w:rsid w:val="00A343DF"/>
    <w:rsid w:val="00A40C2F"/>
    <w:rsid w:val="00A41A9D"/>
    <w:rsid w:val="00A43424"/>
    <w:rsid w:val="00A44100"/>
    <w:rsid w:val="00A45D76"/>
    <w:rsid w:val="00A547D7"/>
    <w:rsid w:val="00A67630"/>
    <w:rsid w:val="00A702E9"/>
    <w:rsid w:val="00A71A63"/>
    <w:rsid w:val="00A77B6F"/>
    <w:rsid w:val="00A878D0"/>
    <w:rsid w:val="00A96BD4"/>
    <w:rsid w:val="00AB2537"/>
    <w:rsid w:val="00AB579F"/>
    <w:rsid w:val="00AB6025"/>
    <w:rsid w:val="00AC1013"/>
    <w:rsid w:val="00AC2D41"/>
    <w:rsid w:val="00AC30DB"/>
    <w:rsid w:val="00AC491C"/>
    <w:rsid w:val="00AD3CC0"/>
    <w:rsid w:val="00AE3C4A"/>
    <w:rsid w:val="00AE7BB0"/>
    <w:rsid w:val="00AF4B4C"/>
    <w:rsid w:val="00B0323E"/>
    <w:rsid w:val="00B11A40"/>
    <w:rsid w:val="00B25DA0"/>
    <w:rsid w:val="00B3209D"/>
    <w:rsid w:val="00B332EE"/>
    <w:rsid w:val="00B3644B"/>
    <w:rsid w:val="00B424FC"/>
    <w:rsid w:val="00B42E7F"/>
    <w:rsid w:val="00B60833"/>
    <w:rsid w:val="00B62326"/>
    <w:rsid w:val="00B63634"/>
    <w:rsid w:val="00B66FF9"/>
    <w:rsid w:val="00B744FC"/>
    <w:rsid w:val="00B8013E"/>
    <w:rsid w:val="00B8074C"/>
    <w:rsid w:val="00B855B3"/>
    <w:rsid w:val="00B94658"/>
    <w:rsid w:val="00B946B8"/>
    <w:rsid w:val="00B94B5B"/>
    <w:rsid w:val="00BB25C8"/>
    <w:rsid w:val="00BB731E"/>
    <w:rsid w:val="00BC1981"/>
    <w:rsid w:val="00BC45B6"/>
    <w:rsid w:val="00BD0732"/>
    <w:rsid w:val="00BE73D3"/>
    <w:rsid w:val="00C056B1"/>
    <w:rsid w:val="00C0586A"/>
    <w:rsid w:val="00C12EDF"/>
    <w:rsid w:val="00C440FC"/>
    <w:rsid w:val="00C47B39"/>
    <w:rsid w:val="00C5599F"/>
    <w:rsid w:val="00C664C6"/>
    <w:rsid w:val="00C701B8"/>
    <w:rsid w:val="00C71D81"/>
    <w:rsid w:val="00C775DB"/>
    <w:rsid w:val="00C779A7"/>
    <w:rsid w:val="00C87A0A"/>
    <w:rsid w:val="00C9247A"/>
    <w:rsid w:val="00CA3096"/>
    <w:rsid w:val="00CB0ACA"/>
    <w:rsid w:val="00CC4279"/>
    <w:rsid w:val="00CD3FE5"/>
    <w:rsid w:val="00CD7AC8"/>
    <w:rsid w:val="00CF06AB"/>
    <w:rsid w:val="00CF2437"/>
    <w:rsid w:val="00D122A1"/>
    <w:rsid w:val="00D30AA9"/>
    <w:rsid w:val="00D34ECC"/>
    <w:rsid w:val="00D35DA4"/>
    <w:rsid w:val="00D51820"/>
    <w:rsid w:val="00D53F63"/>
    <w:rsid w:val="00D63F24"/>
    <w:rsid w:val="00D725F3"/>
    <w:rsid w:val="00D769FB"/>
    <w:rsid w:val="00D83D47"/>
    <w:rsid w:val="00DA099A"/>
    <w:rsid w:val="00DA1150"/>
    <w:rsid w:val="00DA331F"/>
    <w:rsid w:val="00DA7708"/>
    <w:rsid w:val="00DB1808"/>
    <w:rsid w:val="00DC1018"/>
    <w:rsid w:val="00DC11A7"/>
    <w:rsid w:val="00DC25D8"/>
    <w:rsid w:val="00DD3A16"/>
    <w:rsid w:val="00DE70DE"/>
    <w:rsid w:val="00DE76A9"/>
    <w:rsid w:val="00DF3B52"/>
    <w:rsid w:val="00E00E9E"/>
    <w:rsid w:val="00E02458"/>
    <w:rsid w:val="00E15EEF"/>
    <w:rsid w:val="00E2009A"/>
    <w:rsid w:val="00E20480"/>
    <w:rsid w:val="00E32B84"/>
    <w:rsid w:val="00E40888"/>
    <w:rsid w:val="00E411A1"/>
    <w:rsid w:val="00E43D38"/>
    <w:rsid w:val="00E51BFA"/>
    <w:rsid w:val="00E522AA"/>
    <w:rsid w:val="00E57B09"/>
    <w:rsid w:val="00E65DCE"/>
    <w:rsid w:val="00E70AA7"/>
    <w:rsid w:val="00E75949"/>
    <w:rsid w:val="00E874E1"/>
    <w:rsid w:val="00E87694"/>
    <w:rsid w:val="00EB1FDD"/>
    <w:rsid w:val="00ED1F8F"/>
    <w:rsid w:val="00ED6B5C"/>
    <w:rsid w:val="00ED74D8"/>
    <w:rsid w:val="00EE72AA"/>
    <w:rsid w:val="00EF062E"/>
    <w:rsid w:val="00F01228"/>
    <w:rsid w:val="00F050CE"/>
    <w:rsid w:val="00F053FC"/>
    <w:rsid w:val="00F20613"/>
    <w:rsid w:val="00F20BD4"/>
    <w:rsid w:val="00F240EE"/>
    <w:rsid w:val="00F25C00"/>
    <w:rsid w:val="00F30AAE"/>
    <w:rsid w:val="00F31E8B"/>
    <w:rsid w:val="00F34B74"/>
    <w:rsid w:val="00F36414"/>
    <w:rsid w:val="00F5559B"/>
    <w:rsid w:val="00F613D0"/>
    <w:rsid w:val="00F71579"/>
    <w:rsid w:val="00F7551F"/>
    <w:rsid w:val="00FA19D2"/>
    <w:rsid w:val="00FB322A"/>
    <w:rsid w:val="00FC2020"/>
    <w:rsid w:val="00FC2E52"/>
    <w:rsid w:val="00FC4FAC"/>
    <w:rsid w:val="00FE44E4"/>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2625"/>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34"/>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511918638">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39927357">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217</Words>
  <Characters>1241</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Wong, Siu Kee (PacifiCorp)</cp:lastModifiedBy>
  <cp:revision>11</cp:revision>
  <cp:lastPrinted>2018-10-11T18:11:00Z</cp:lastPrinted>
  <dcterms:created xsi:type="dcterms:W3CDTF">2024-07-20T00:16:00Z</dcterms:created>
  <dcterms:modified xsi:type="dcterms:W3CDTF">2024-07-29T23:28:00Z</dcterms:modified>
</cp:coreProperties>
</file>