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2B327283" w:rsidR="00FA19D2" w:rsidRPr="00C440FC" w:rsidRDefault="00C440FC" w:rsidP="00C440FC">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6D0770" w:rsidRPr="00C440FC">
        <w:rPr>
          <w:b/>
        </w:rPr>
        <w:t>1</w:t>
      </w:r>
      <w:r w:rsidR="00822CF4" w:rsidRPr="00C440FC">
        <w:rPr>
          <w:b/>
        </w:rPr>
        <w:t>.</w:t>
      </w:r>
      <w:r w:rsidR="00175B7E">
        <w:rPr>
          <w:b/>
        </w:rPr>
        <w:t>4</w:t>
      </w:r>
    </w:p>
    <w:p w14:paraId="15072E8B" w14:textId="77777777" w:rsidR="009F523A" w:rsidRPr="00C440FC" w:rsidRDefault="009F523A" w:rsidP="00C440FC">
      <w:pPr>
        <w:rPr>
          <w:b/>
        </w:rPr>
      </w:pPr>
    </w:p>
    <w:p w14:paraId="3E21065A" w14:textId="06C756FB" w:rsidR="00175B7E" w:rsidRPr="00175B7E" w:rsidRDefault="00175B7E" w:rsidP="00175B7E">
      <w:pPr>
        <w:ind w:left="720"/>
        <w:rPr>
          <w:rFonts w:eastAsiaTheme="minorHAnsi"/>
        </w:rPr>
      </w:pPr>
      <w:r w:rsidRPr="00175B7E">
        <w:rPr>
          <w:rFonts w:eastAsiaTheme="minorHAnsi"/>
          <w:b/>
          <w:bCs/>
        </w:rPr>
        <w:t>PacifiCorp’s expansion of vegetation patrol inspections to the entire</w:t>
      </w:r>
      <w:r>
        <w:rPr>
          <w:rFonts w:eastAsiaTheme="minorHAnsi"/>
          <w:b/>
          <w:bCs/>
        </w:rPr>
        <w:t xml:space="preserve"> </w:t>
      </w:r>
      <w:r w:rsidRPr="00175B7E">
        <w:rPr>
          <w:rFonts w:eastAsiaTheme="minorHAnsi"/>
          <w:b/>
          <w:bCs/>
        </w:rPr>
        <w:t>territory, including the newly defined HFRA</w:t>
      </w:r>
      <w:r w:rsidR="007862BB">
        <w:rPr>
          <w:rFonts w:eastAsiaTheme="minorHAnsi"/>
          <w:b/>
          <w:bCs/>
        </w:rPr>
        <w:t>:</w:t>
      </w:r>
      <w:r>
        <w:rPr>
          <w:rFonts w:eastAsiaTheme="minorHAnsi"/>
          <w:b/>
          <w:bCs/>
        </w:rPr>
        <w:t xml:space="preserve"> </w:t>
      </w:r>
      <w:r w:rsidRPr="00175B7E">
        <w:rPr>
          <w:rFonts w:eastAsiaTheme="minorHAnsi"/>
        </w:rPr>
        <w:t xml:space="preserve">In Table 3 of its 2025 WMP Update, PacifiCorp indicates 120 transmission line </w:t>
      </w:r>
      <w:proofErr w:type="gramStart"/>
      <w:r w:rsidRPr="00175B7E">
        <w:rPr>
          <w:rFonts w:eastAsiaTheme="minorHAnsi"/>
        </w:rPr>
        <w:t>miles</w:t>
      </w:r>
      <w:proofErr w:type="gramEnd"/>
      <w:r w:rsidRPr="00175B7E">
        <w:rPr>
          <w:rFonts w:eastAsiaTheme="minorHAnsi"/>
        </w:rPr>
        <w:t xml:space="preserve"> and 488</w:t>
      </w:r>
      <w:r>
        <w:rPr>
          <w:rFonts w:eastAsiaTheme="minorHAnsi"/>
        </w:rPr>
        <w:t xml:space="preserve"> </w:t>
      </w:r>
      <w:r w:rsidRPr="00175B7E">
        <w:rPr>
          <w:rFonts w:eastAsiaTheme="minorHAnsi"/>
        </w:rPr>
        <w:t>distribution lines miles are included in the newly defined HFRA. PacifiCorp’s 2023-2025 Base</w:t>
      </w:r>
      <w:r>
        <w:rPr>
          <w:rFonts w:eastAsiaTheme="minorHAnsi"/>
        </w:rPr>
        <w:t xml:space="preserve"> </w:t>
      </w:r>
      <w:r w:rsidRPr="00175B7E">
        <w:rPr>
          <w:rFonts w:eastAsiaTheme="minorHAnsi"/>
        </w:rPr>
        <w:t>WMP redline indicates that patrol inspections (VM-03 and VM-04) will occur in the newly</w:t>
      </w:r>
      <w:r>
        <w:rPr>
          <w:rFonts w:eastAsiaTheme="minorHAnsi"/>
        </w:rPr>
        <w:t xml:space="preserve"> </w:t>
      </w:r>
      <w:r w:rsidRPr="00175B7E">
        <w:rPr>
          <w:rFonts w:eastAsiaTheme="minorHAnsi"/>
        </w:rPr>
        <w:t>defined HFRA and in the non-HFTD/HFRA</w:t>
      </w:r>
      <w:r>
        <w:rPr>
          <w:rFonts w:eastAsiaTheme="minorHAnsi"/>
        </w:rPr>
        <w:t>.</w:t>
      </w:r>
      <w:r w:rsidRPr="00175B7E">
        <w:rPr>
          <w:rFonts w:eastAsiaTheme="minorHAnsi"/>
        </w:rPr>
        <w:t xml:space="preserve"> However, the narrative discussion describes</w:t>
      </w:r>
      <w:r>
        <w:rPr>
          <w:rFonts w:eastAsiaTheme="minorHAnsi"/>
        </w:rPr>
        <w:t xml:space="preserve"> </w:t>
      </w:r>
      <w:r w:rsidRPr="00175B7E">
        <w:rPr>
          <w:rFonts w:eastAsiaTheme="minorHAnsi"/>
        </w:rPr>
        <w:t>conducting patrol inspections only on the portion of the lines within the HFTD. Furthermore,</w:t>
      </w:r>
      <w:r>
        <w:rPr>
          <w:rFonts w:eastAsiaTheme="minorHAnsi"/>
        </w:rPr>
        <w:t xml:space="preserve"> </w:t>
      </w:r>
      <w:r w:rsidRPr="00175B7E">
        <w:rPr>
          <w:rFonts w:eastAsiaTheme="minorHAnsi"/>
        </w:rPr>
        <w:t>2025 end of year circuit mile targets are unchanged.</w:t>
      </w:r>
      <w:r w:rsidR="007862BB">
        <w:rPr>
          <w:rFonts w:eastAsiaTheme="minorHAnsi"/>
        </w:rPr>
        <w:br/>
      </w:r>
    </w:p>
    <w:p w14:paraId="3C922A49" w14:textId="259C3D93" w:rsidR="007862BB" w:rsidRPr="007862BB" w:rsidRDefault="00175B7E" w:rsidP="007862BB">
      <w:pPr>
        <w:pStyle w:val="ListParagraph"/>
        <w:numPr>
          <w:ilvl w:val="0"/>
          <w:numId w:val="16"/>
        </w:numPr>
        <w:spacing w:after="0" w:line="240" w:lineRule="auto"/>
        <w:rPr>
          <w:rFonts w:ascii="Times New Roman" w:hAnsi="Times New Roman" w:cs="Times New Roman"/>
          <w:sz w:val="24"/>
          <w:szCs w:val="24"/>
        </w:rPr>
      </w:pPr>
      <w:r w:rsidRPr="00175B7E">
        <w:rPr>
          <w:rFonts w:ascii="Times New Roman" w:hAnsi="Times New Roman" w:cs="Times New Roman"/>
          <w:sz w:val="24"/>
          <w:szCs w:val="24"/>
        </w:rPr>
        <w:t xml:space="preserve">Clarify </w:t>
      </w:r>
      <w:r w:rsidRPr="007862BB">
        <w:rPr>
          <w:rFonts w:ascii="Times New Roman" w:hAnsi="Times New Roman" w:cs="Times New Roman"/>
          <w:sz w:val="24"/>
          <w:szCs w:val="24"/>
        </w:rPr>
        <w:t>whether patrol inspections (VM-03 and VM-04) will occur in the HFRA and/or the non-HFTD/HFRA in 2025.</w:t>
      </w:r>
      <w:r w:rsidR="007862BB" w:rsidRPr="007862BB">
        <w:rPr>
          <w:rFonts w:ascii="Times New Roman" w:hAnsi="Times New Roman" w:cs="Times New Roman"/>
          <w:sz w:val="24"/>
          <w:szCs w:val="24"/>
        </w:rPr>
        <w:br/>
      </w:r>
    </w:p>
    <w:p w14:paraId="49C2A81A" w14:textId="75F2EE84" w:rsidR="00175B7E" w:rsidRPr="007862BB" w:rsidRDefault="00175B7E" w:rsidP="007862BB">
      <w:pPr>
        <w:pStyle w:val="ListParagraph"/>
        <w:numPr>
          <w:ilvl w:val="1"/>
          <w:numId w:val="16"/>
        </w:numPr>
        <w:spacing w:after="0" w:line="240" w:lineRule="auto"/>
        <w:ind w:left="1620" w:hanging="540"/>
        <w:rPr>
          <w:rFonts w:ascii="Times New Roman" w:hAnsi="Times New Roman" w:cs="Times New Roman"/>
          <w:sz w:val="24"/>
          <w:szCs w:val="24"/>
        </w:rPr>
      </w:pPr>
      <w:r w:rsidRPr="007862BB">
        <w:rPr>
          <w:rFonts w:ascii="Times New Roman" w:hAnsi="Times New Roman" w:cs="Times New Roman"/>
          <w:sz w:val="24"/>
          <w:szCs w:val="24"/>
        </w:rPr>
        <w:t>If patrol inspections will occur beyond the HFTD in 2025, explain why 2025 end of-year targets for VM-03 and VM-04 are unchanged.</w:t>
      </w:r>
      <w:r w:rsidR="007862BB">
        <w:rPr>
          <w:rFonts w:ascii="Times New Roman" w:hAnsi="Times New Roman" w:cs="Times New Roman"/>
          <w:sz w:val="24"/>
          <w:szCs w:val="24"/>
        </w:rPr>
        <w:br/>
      </w:r>
    </w:p>
    <w:p w14:paraId="64D80804" w14:textId="03B52E0D" w:rsidR="00175B7E" w:rsidRPr="007862BB" w:rsidRDefault="00175B7E" w:rsidP="007862BB">
      <w:pPr>
        <w:pStyle w:val="ListParagraph"/>
        <w:numPr>
          <w:ilvl w:val="1"/>
          <w:numId w:val="16"/>
        </w:numPr>
        <w:spacing w:after="0" w:line="240" w:lineRule="auto"/>
        <w:ind w:left="1620" w:hanging="540"/>
        <w:rPr>
          <w:rFonts w:ascii="Times New Roman" w:hAnsi="Times New Roman" w:cs="Times New Roman"/>
          <w:sz w:val="24"/>
          <w:szCs w:val="24"/>
        </w:rPr>
      </w:pPr>
      <w:r w:rsidRPr="007862BB">
        <w:rPr>
          <w:rFonts w:ascii="Times New Roman" w:hAnsi="Times New Roman" w:cs="Times New Roman"/>
          <w:sz w:val="24"/>
          <w:szCs w:val="24"/>
        </w:rPr>
        <w:t>If patrol inspections will occur beyond the HFTD in 2025, explain why expenditures related to patrol inspections are unchanged.</w:t>
      </w:r>
      <w:r w:rsidR="007862BB">
        <w:rPr>
          <w:rFonts w:ascii="Times New Roman" w:hAnsi="Times New Roman" w:cs="Times New Roman"/>
          <w:sz w:val="24"/>
          <w:szCs w:val="24"/>
        </w:rPr>
        <w:br/>
      </w:r>
    </w:p>
    <w:p w14:paraId="514E070E" w14:textId="3902790E" w:rsidR="00175B7E" w:rsidRPr="007862BB" w:rsidRDefault="00175B7E" w:rsidP="007862BB">
      <w:pPr>
        <w:pStyle w:val="ListParagraph"/>
        <w:numPr>
          <w:ilvl w:val="1"/>
          <w:numId w:val="16"/>
        </w:numPr>
        <w:spacing w:after="0" w:line="240" w:lineRule="auto"/>
        <w:ind w:left="1620" w:hanging="540"/>
        <w:rPr>
          <w:rFonts w:ascii="Times New Roman" w:hAnsi="Times New Roman" w:cs="Times New Roman"/>
          <w:sz w:val="24"/>
          <w:szCs w:val="24"/>
        </w:rPr>
      </w:pPr>
      <w:r w:rsidRPr="007862BB">
        <w:rPr>
          <w:rFonts w:ascii="Times New Roman" w:hAnsi="Times New Roman" w:cs="Times New Roman"/>
          <w:sz w:val="24"/>
          <w:szCs w:val="24"/>
        </w:rPr>
        <w:t>If patrol inspections will not occur beyond the HFTD in 2025, clarify the information provided in the unnamed table found on pp. 137-141 of PacifiCorp’s updated 2023-2025 WMP.</w:t>
      </w:r>
      <w:r w:rsidR="007862BB" w:rsidRPr="007862BB">
        <w:rPr>
          <w:rFonts w:ascii="Times New Roman" w:hAnsi="Times New Roman" w:cs="Times New Roman"/>
          <w:sz w:val="24"/>
          <w:szCs w:val="24"/>
        </w:rPr>
        <w:br/>
      </w:r>
    </w:p>
    <w:p w14:paraId="05ADB80C" w14:textId="13F4561F" w:rsidR="0097495F" w:rsidRPr="007862BB" w:rsidRDefault="00175B7E" w:rsidP="00175B7E">
      <w:pPr>
        <w:pStyle w:val="ListParagraph"/>
        <w:numPr>
          <w:ilvl w:val="0"/>
          <w:numId w:val="16"/>
        </w:numPr>
        <w:spacing w:after="0" w:line="240" w:lineRule="auto"/>
        <w:rPr>
          <w:rFonts w:ascii="Times New Roman" w:hAnsi="Times New Roman" w:cs="Times New Roman"/>
          <w:sz w:val="24"/>
          <w:szCs w:val="24"/>
        </w:rPr>
      </w:pPr>
      <w:r w:rsidRPr="007862BB">
        <w:rPr>
          <w:rFonts w:ascii="Times New Roman" w:hAnsi="Times New Roman" w:cs="Times New Roman"/>
          <w:sz w:val="24"/>
          <w:szCs w:val="24"/>
        </w:rPr>
        <w:t>Populate the empty cells of the table below:</w:t>
      </w:r>
    </w:p>
    <w:p w14:paraId="56761251" w14:textId="77777777" w:rsidR="00175B7E" w:rsidRDefault="00175B7E" w:rsidP="00175B7E">
      <w:pPr>
        <w:rPr>
          <w:rFonts w:eastAsiaTheme="minorHAnsi"/>
          <w:b/>
          <w:bCs/>
        </w:rPr>
      </w:pPr>
    </w:p>
    <w:p w14:paraId="2768EE57" w14:textId="77777777" w:rsidR="00175B7E" w:rsidRDefault="00175B7E" w:rsidP="00175B7E">
      <w:pPr>
        <w:rPr>
          <w:rFonts w:eastAsiaTheme="minorHAnsi"/>
          <w:b/>
          <w:bCs/>
        </w:rPr>
      </w:pPr>
    </w:p>
    <w:tbl>
      <w:tblPr>
        <w:tblW w:w="10071" w:type="dxa"/>
        <w:tblInd w:w="120" w:type="dxa"/>
        <w:tblLayout w:type="fixed"/>
        <w:tblCellMar>
          <w:left w:w="0" w:type="dxa"/>
          <w:right w:w="0" w:type="dxa"/>
        </w:tblCellMar>
        <w:tblLook w:val="0000" w:firstRow="0" w:lastRow="0" w:firstColumn="0" w:lastColumn="0" w:noHBand="0" w:noVBand="0"/>
      </w:tblPr>
      <w:tblGrid>
        <w:gridCol w:w="2575"/>
        <w:gridCol w:w="1710"/>
        <w:gridCol w:w="1535"/>
        <w:gridCol w:w="1774"/>
        <w:gridCol w:w="2477"/>
      </w:tblGrid>
      <w:tr w:rsidR="00175B7E" w:rsidRPr="00175B7E" w14:paraId="60485D14" w14:textId="77777777" w:rsidTr="00076409">
        <w:trPr>
          <w:trHeight w:val="904"/>
        </w:trPr>
        <w:tc>
          <w:tcPr>
            <w:tcW w:w="2575" w:type="dxa"/>
            <w:tcBorders>
              <w:top w:val="single" w:sz="4" w:space="0" w:color="000000"/>
              <w:left w:val="single" w:sz="4" w:space="0" w:color="000000"/>
              <w:bottom w:val="single" w:sz="4" w:space="0" w:color="000000"/>
              <w:right w:val="single" w:sz="4" w:space="0" w:color="000000"/>
            </w:tcBorders>
            <w:vAlign w:val="center"/>
          </w:tcPr>
          <w:p w14:paraId="5D96AEDE" w14:textId="77777777" w:rsidR="00175B7E" w:rsidRPr="007862BB" w:rsidRDefault="00175B7E" w:rsidP="007862BB">
            <w:pPr>
              <w:kinsoku w:val="0"/>
              <w:overflowPunct w:val="0"/>
              <w:autoSpaceDE w:val="0"/>
              <w:autoSpaceDN w:val="0"/>
              <w:adjustRightInd w:val="0"/>
              <w:spacing w:before="167"/>
              <w:ind w:left="107"/>
              <w:jc w:val="center"/>
              <w:rPr>
                <w:rFonts w:eastAsiaTheme="minorHAnsi"/>
                <w:b/>
                <w:bCs/>
                <w:spacing w:val="-2"/>
                <w:w w:val="110"/>
                <w:sz w:val="20"/>
                <w:szCs w:val="20"/>
              </w:rPr>
            </w:pPr>
            <w:r w:rsidRPr="007862BB">
              <w:rPr>
                <w:rFonts w:eastAsiaTheme="minorHAnsi"/>
                <w:b/>
                <w:bCs/>
                <w:spacing w:val="-2"/>
                <w:w w:val="110"/>
                <w:sz w:val="20"/>
                <w:szCs w:val="20"/>
              </w:rPr>
              <w:t>Initiative</w:t>
            </w:r>
          </w:p>
        </w:tc>
        <w:tc>
          <w:tcPr>
            <w:tcW w:w="1710" w:type="dxa"/>
            <w:tcBorders>
              <w:top w:val="single" w:sz="4" w:space="0" w:color="000000"/>
              <w:left w:val="single" w:sz="4" w:space="0" w:color="000000"/>
              <w:bottom w:val="single" w:sz="4" w:space="0" w:color="000000"/>
              <w:right w:val="single" w:sz="4" w:space="0" w:color="000000"/>
            </w:tcBorders>
            <w:vAlign w:val="center"/>
          </w:tcPr>
          <w:p w14:paraId="78BF6711" w14:textId="77777777" w:rsidR="00175B7E" w:rsidRPr="007862BB" w:rsidRDefault="00175B7E" w:rsidP="007862BB">
            <w:pPr>
              <w:kinsoku w:val="0"/>
              <w:overflowPunct w:val="0"/>
              <w:autoSpaceDE w:val="0"/>
              <w:autoSpaceDN w:val="0"/>
              <w:adjustRightInd w:val="0"/>
              <w:spacing w:before="9"/>
              <w:ind w:left="108"/>
              <w:jc w:val="center"/>
              <w:rPr>
                <w:rFonts w:eastAsiaTheme="minorHAnsi"/>
                <w:b/>
                <w:bCs/>
                <w:w w:val="105"/>
                <w:sz w:val="20"/>
                <w:szCs w:val="20"/>
              </w:rPr>
            </w:pPr>
            <w:r w:rsidRPr="007862BB">
              <w:rPr>
                <w:rFonts w:eastAsiaTheme="minorHAnsi"/>
                <w:b/>
                <w:bCs/>
                <w:w w:val="105"/>
                <w:sz w:val="20"/>
                <w:szCs w:val="20"/>
              </w:rPr>
              <w:t>2025</w:t>
            </w:r>
            <w:r w:rsidRPr="007862BB">
              <w:rPr>
                <w:rFonts w:eastAsiaTheme="minorHAnsi"/>
                <w:b/>
                <w:bCs/>
                <w:spacing w:val="-3"/>
                <w:w w:val="105"/>
                <w:sz w:val="20"/>
                <w:szCs w:val="20"/>
              </w:rPr>
              <w:t xml:space="preserve"> </w:t>
            </w:r>
            <w:r w:rsidRPr="007862BB">
              <w:rPr>
                <w:rFonts w:eastAsiaTheme="minorHAnsi"/>
                <w:b/>
                <w:bCs/>
                <w:w w:val="105"/>
                <w:sz w:val="20"/>
                <w:szCs w:val="20"/>
              </w:rPr>
              <w:t>Target</w:t>
            </w:r>
          </w:p>
          <w:p w14:paraId="61E1F102" w14:textId="77777777" w:rsidR="00175B7E" w:rsidRPr="007862BB" w:rsidRDefault="00175B7E" w:rsidP="007862BB">
            <w:pPr>
              <w:kinsoku w:val="0"/>
              <w:overflowPunct w:val="0"/>
              <w:autoSpaceDE w:val="0"/>
              <w:autoSpaceDN w:val="0"/>
              <w:adjustRightInd w:val="0"/>
              <w:spacing w:line="300" w:lineRule="atLeast"/>
              <w:ind w:left="108" w:right="653"/>
              <w:jc w:val="center"/>
              <w:rPr>
                <w:rFonts w:eastAsiaTheme="minorHAnsi"/>
                <w:b/>
                <w:bCs/>
                <w:spacing w:val="-2"/>
                <w:w w:val="110"/>
                <w:sz w:val="20"/>
                <w:szCs w:val="20"/>
              </w:rPr>
            </w:pPr>
            <w:r w:rsidRPr="007862BB">
              <w:rPr>
                <w:rFonts w:eastAsiaTheme="minorHAnsi"/>
                <w:b/>
                <w:bCs/>
                <w:spacing w:val="-2"/>
                <w:w w:val="110"/>
                <w:sz w:val="20"/>
                <w:szCs w:val="20"/>
              </w:rPr>
              <w:t>(Circuit Miles)</w:t>
            </w:r>
          </w:p>
        </w:tc>
        <w:tc>
          <w:tcPr>
            <w:tcW w:w="1535" w:type="dxa"/>
            <w:tcBorders>
              <w:top w:val="single" w:sz="4" w:space="0" w:color="000000"/>
              <w:left w:val="single" w:sz="4" w:space="0" w:color="000000"/>
              <w:bottom w:val="single" w:sz="4" w:space="0" w:color="000000"/>
              <w:right w:val="single" w:sz="4" w:space="0" w:color="000000"/>
            </w:tcBorders>
            <w:vAlign w:val="center"/>
          </w:tcPr>
          <w:p w14:paraId="33E7C10E" w14:textId="77777777" w:rsidR="00175B7E" w:rsidRPr="007862BB" w:rsidRDefault="00175B7E" w:rsidP="007862BB">
            <w:pPr>
              <w:kinsoku w:val="0"/>
              <w:overflowPunct w:val="0"/>
              <w:autoSpaceDE w:val="0"/>
              <w:autoSpaceDN w:val="0"/>
              <w:adjustRightInd w:val="0"/>
              <w:spacing w:before="9"/>
              <w:ind w:left="107"/>
              <w:jc w:val="center"/>
              <w:rPr>
                <w:rFonts w:eastAsiaTheme="minorHAnsi"/>
                <w:b/>
                <w:bCs/>
                <w:w w:val="110"/>
                <w:sz w:val="20"/>
                <w:szCs w:val="20"/>
              </w:rPr>
            </w:pPr>
            <w:r w:rsidRPr="007862BB">
              <w:rPr>
                <w:rFonts w:eastAsiaTheme="minorHAnsi"/>
                <w:b/>
                <w:bCs/>
                <w:w w:val="110"/>
                <w:sz w:val="20"/>
                <w:szCs w:val="20"/>
              </w:rPr>
              <w:t>Circuit</w:t>
            </w:r>
            <w:r w:rsidRPr="007862BB">
              <w:rPr>
                <w:rFonts w:eastAsiaTheme="minorHAnsi"/>
                <w:b/>
                <w:bCs/>
                <w:spacing w:val="-6"/>
                <w:w w:val="110"/>
                <w:sz w:val="20"/>
                <w:szCs w:val="20"/>
              </w:rPr>
              <w:t xml:space="preserve"> </w:t>
            </w:r>
            <w:r w:rsidRPr="007862BB">
              <w:rPr>
                <w:rFonts w:eastAsiaTheme="minorHAnsi"/>
                <w:b/>
                <w:bCs/>
                <w:w w:val="110"/>
                <w:sz w:val="20"/>
                <w:szCs w:val="20"/>
              </w:rPr>
              <w:t>Miles</w:t>
            </w:r>
          </w:p>
          <w:p w14:paraId="5CE5FC11" w14:textId="77777777" w:rsidR="00175B7E" w:rsidRPr="007862BB" w:rsidRDefault="00175B7E" w:rsidP="007862BB">
            <w:pPr>
              <w:kinsoku w:val="0"/>
              <w:overflowPunct w:val="0"/>
              <w:autoSpaceDE w:val="0"/>
              <w:autoSpaceDN w:val="0"/>
              <w:adjustRightInd w:val="0"/>
              <w:spacing w:line="300" w:lineRule="atLeast"/>
              <w:ind w:left="107"/>
              <w:jc w:val="center"/>
              <w:rPr>
                <w:rFonts w:eastAsiaTheme="minorHAnsi"/>
                <w:b/>
                <w:bCs/>
                <w:w w:val="105"/>
                <w:sz w:val="20"/>
                <w:szCs w:val="20"/>
              </w:rPr>
            </w:pPr>
            <w:r w:rsidRPr="007862BB">
              <w:rPr>
                <w:rFonts w:eastAsiaTheme="minorHAnsi"/>
                <w:b/>
                <w:bCs/>
                <w:w w:val="105"/>
                <w:sz w:val="20"/>
                <w:szCs w:val="20"/>
              </w:rPr>
              <w:t>of</w:t>
            </w:r>
            <w:r w:rsidRPr="007862BB">
              <w:rPr>
                <w:rFonts w:eastAsiaTheme="minorHAnsi"/>
                <w:b/>
                <w:bCs/>
                <w:spacing w:val="-15"/>
                <w:w w:val="105"/>
                <w:sz w:val="20"/>
                <w:szCs w:val="20"/>
              </w:rPr>
              <w:t xml:space="preserve"> </w:t>
            </w:r>
            <w:r w:rsidRPr="007862BB">
              <w:rPr>
                <w:rFonts w:eastAsiaTheme="minorHAnsi"/>
                <w:b/>
                <w:bCs/>
                <w:w w:val="105"/>
                <w:sz w:val="20"/>
                <w:szCs w:val="20"/>
              </w:rPr>
              <w:t>2025</w:t>
            </w:r>
            <w:r w:rsidRPr="007862BB">
              <w:rPr>
                <w:rFonts w:eastAsiaTheme="minorHAnsi"/>
                <w:b/>
                <w:bCs/>
                <w:spacing w:val="-14"/>
                <w:w w:val="105"/>
                <w:sz w:val="20"/>
                <w:szCs w:val="20"/>
              </w:rPr>
              <w:t xml:space="preserve"> </w:t>
            </w:r>
            <w:r w:rsidRPr="007862BB">
              <w:rPr>
                <w:rFonts w:eastAsiaTheme="minorHAnsi"/>
                <w:b/>
                <w:bCs/>
                <w:w w:val="105"/>
                <w:sz w:val="20"/>
                <w:szCs w:val="20"/>
              </w:rPr>
              <w:t>Target in HFTD</w:t>
            </w:r>
          </w:p>
        </w:tc>
        <w:tc>
          <w:tcPr>
            <w:tcW w:w="1774" w:type="dxa"/>
            <w:tcBorders>
              <w:top w:val="single" w:sz="4" w:space="0" w:color="000000"/>
              <w:left w:val="single" w:sz="4" w:space="0" w:color="000000"/>
              <w:bottom w:val="single" w:sz="4" w:space="0" w:color="000000"/>
              <w:right w:val="single" w:sz="4" w:space="0" w:color="000000"/>
            </w:tcBorders>
            <w:vAlign w:val="center"/>
          </w:tcPr>
          <w:p w14:paraId="7E040B0A" w14:textId="77777777" w:rsidR="00175B7E" w:rsidRPr="007862BB" w:rsidRDefault="00175B7E" w:rsidP="007862BB">
            <w:pPr>
              <w:kinsoku w:val="0"/>
              <w:overflowPunct w:val="0"/>
              <w:autoSpaceDE w:val="0"/>
              <w:autoSpaceDN w:val="0"/>
              <w:adjustRightInd w:val="0"/>
              <w:spacing w:before="9"/>
              <w:ind w:left="107"/>
              <w:jc w:val="center"/>
              <w:rPr>
                <w:rFonts w:eastAsiaTheme="minorHAnsi"/>
                <w:b/>
                <w:bCs/>
                <w:w w:val="110"/>
                <w:sz w:val="20"/>
                <w:szCs w:val="20"/>
              </w:rPr>
            </w:pPr>
            <w:r w:rsidRPr="007862BB">
              <w:rPr>
                <w:rFonts w:eastAsiaTheme="minorHAnsi"/>
                <w:b/>
                <w:bCs/>
                <w:w w:val="110"/>
                <w:sz w:val="20"/>
                <w:szCs w:val="20"/>
              </w:rPr>
              <w:t>Circuit</w:t>
            </w:r>
            <w:r w:rsidRPr="007862BB">
              <w:rPr>
                <w:rFonts w:eastAsiaTheme="minorHAnsi"/>
                <w:b/>
                <w:bCs/>
                <w:spacing w:val="-6"/>
                <w:w w:val="110"/>
                <w:sz w:val="20"/>
                <w:szCs w:val="20"/>
              </w:rPr>
              <w:t xml:space="preserve"> </w:t>
            </w:r>
            <w:r w:rsidRPr="007862BB">
              <w:rPr>
                <w:rFonts w:eastAsiaTheme="minorHAnsi"/>
                <w:b/>
                <w:bCs/>
                <w:w w:val="110"/>
                <w:sz w:val="20"/>
                <w:szCs w:val="20"/>
              </w:rPr>
              <w:t>Miles</w:t>
            </w:r>
          </w:p>
          <w:p w14:paraId="7C2869ED" w14:textId="77777777" w:rsidR="00175B7E" w:rsidRPr="007862BB" w:rsidRDefault="00175B7E" w:rsidP="007862BB">
            <w:pPr>
              <w:kinsoku w:val="0"/>
              <w:overflowPunct w:val="0"/>
              <w:autoSpaceDE w:val="0"/>
              <w:autoSpaceDN w:val="0"/>
              <w:adjustRightInd w:val="0"/>
              <w:spacing w:line="300" w:lineRule="atLeast"/>
              <w:ind w:left="107"/>
              <w:jc w:val="center"/>
              <w:rPr>
                <w:rFonts w:eastAsiaTheme="minorHAnsi"/>
                <w:b/>
                <w:bCs/>
                <w:w w:val="105"/>
                <w:sz w:val="20"/>
                <w:szCs w:val="20"/>
              </w:rPr>
            </w:pPr>
            <w:r w:rsidRPr="007862BB">
              <w:rPr>
                <w:rFonts w:eastAsiaTheme="minorHAnsi"/>
                <w:b/>
                <w:bCs/>
                <w:w w:val="105"/>
                <w:sz w:val="20"/>
                <w:szCs w:val="20"/>
              </w:rPr>
              <w:t>of</w:t>
            </w:r>
            <w:r w:rsidRPr="007862BB">
              <w:rPr>
                <w:rFonts w:eastAsiaTheme="minorHAnsi"/>
                <w:b/>
                <w:bCs/>
                <w:spacing w:val="-15"/>
                <w:w w:val="105"/>
                <w:sz w:val="20"/>
                <w:szCs w:val="20"/>
              </w:rPr>
              <w:t xml:space="preserve"> </w:t>
            </w:r>
            <w:r w:rsidRPr="007862BB">
              <w:rPr>
                <w:rFonts w:eastAsiaTheme="minorHAnsi"/>
                <w:b/>
                <w:bCs/>
                <w:w w:val="105"/>
                <w:sz w:val="20"/>
                <w:szCs w:val="20"/>
              </w:rPr>
              <w:t>2025</w:t>
            </w:r>
            <w:r w:rsidRPr="007862BB">
              <w:rPr>
                <w:rFonts w:eastAsiaTheme="minorHAnsi"/>
                <w:b/>
                <w:bCs/>
                <w:spacing w:val="-14"/>
                <w:w w:val="105"/>
                <w:sz w:val="20"/>
                <w:szCs w:val="20"/>
              </w:rPr>
              <w:t xml:space="preserve"> </w:t>
            </w:r>
            <w:r w:rsidRPr="007862BB">
              <w:rPr>
                <w:rFonts w:eastAsiaTheme="minorHAnsi"/>
                <w:b/>
                <w:bCs/>
                <w:w w:val="105"/>
                <w:sz w:val="20"/>
                <w:szCs w:val="20"/>
              </w:rPr>
              <w:t>Target in HFRA</w:t>
            </w:r>
          </w:p>
        </w:tc>
        <w:tc>
          <w:tcPr>
            <w:tcW w:w="2477" w:type="dxa"/>
            <w:tcBorders>
              <w:top w:val="single" w:sz="4" w:space="0" w:color="000000"/>
              <w:left w:val="single" w:sz="4" w:space="0" w:color="000000"/>
              <w:bottom w:val="single" w:sz="4" w:space="0" w:color="000000"/>
              <w:right w:val="single" w:sz="4" w:space="0" w:color="000000"/>
            </w:tcBorders>
            <w:vAlign w:val="center"/>
          </w:tcPr>
          <w:p w14:paraId="3574AD7F" w14:textId="77777777" w:rsidR="00175B7E" w:rsidRPr="007862BB" w:rsidRDefault="00175B7E" w:rsidP="007862BB">
            <w:pPr>
              <w:kinsoku w:val="0"/>
              <w:overflowPunct w:val="0"/>
              <w:autoSpaceDE w:val="0"/>
              <w:autoSpaceDN w:val="0"/>
              <w:adjustRightInd w:val="0"/>
              <w:spacing w:before="9"/>
              <w:ind w:left="107"/>
              <w:jc w:val="center"/>
              <w:rPr>
                <w:rFonts w:eastAsiaTheme="minorHAnsi"/>
                <w:b/>
                <w:bCs/>
                <w:w w:val="105"/>
                <w:sz w:val="20"/>
                <w:szCs w:val="20"/>
              </w:rPr>
            </w:pPr>
            <w:r w:rsidRPr="007862BB">
              <w:rPr>
                <w:rFonts w:eastAsiaTheme="minorHAnsi"/>
                <w:b/>
                <w:bCs/>
                <w:w w:val="105"/>
                <w:sz w:val="20"/>
                <w:szCs w:val="20"/>
              </w:rPr>
              <w:t>Circuit Miles of 2025</w:t>
            </w:r>
          </w:p>
          <w:p w14:paraId="5830B97A" w14:textId="77777777" w:rsidR="00175B7E" w:rsidRPr="007862BB" w:rsidRDefault="00175B7E" w:rsidP="007862BB">
            <w:pPr>
              <w:kinsoku w:val="0"/>
              <w:overflowPunct w:val="0"/>
              <w:autoSpaceDE w:val="0"/>
              <w:autoSpaceDN w:val="0"/>
              <w:adjustRightInd w:val="0"/>
              <w:spacing w:line="300" w:lineRule="atLeast"/>
              <w:ind w:left="107"/>
              <w:jc w:val="center"/>
              <w:rPr>
                <w:rFonts w:eastAsiaTheme="minorHAnsi"/>
                <w:b/>
                <w:bCs/>
                <w:spacing w:val="-2"/>
                <w:w w:val="105"/>
                <w:sz w:val="20"/>
                <w:szCs w:val="20"/>
              </w:rPr>
            </w:pPr>
            <w:r w:rsidRPr="007862BB">
              <w:rPr>
                <w:rFonts w:eastAsiaTheme="minorHAnsi"/>
                <w:b/>
                <w:bCs/>
                <w:w w:val="105"/>
                <w:sz w:val="20"/>
                <w:szCs w:val="20"/>
              </w:rPr>
              <w:t>Target</w:t>
            </w:r>
            <w:r w:rsidRPr="007862BB">
              <w:rPr>
                <w:rFonts w:eastAsiaTheme="minorHAnsi"/>
                <w:b/>
                <w:bCs/>
                <w:spacing w:val="-13"/>
                <w:w w:val="105"/>
                <w:sz w:val="20"/>
                <w:szCs w:val="20"/>
              </w:rPr>
              <w:t xml:space="preserve"> </w:t>
            </w:r>
            <w:r w:rsidRPr="007862BB">
              <w:rPr>
                <w:rFonts w:eastAsiaTheme="minorHAnsi"/>
                <w:b/>
                <w:bCs/>
                <w:w w:val="105"/>
                <w:sz w:val="20"/>
                <w:szCs w:val="20"/>
              </w:rPr>
              <w:t>in</w:t>
            </w:r>
            <w:r w:rsidRPr="007862BB">
              <w:rPr>
                <w:rFonts w:eastAsiaTheme="minorHAnsi"/>
                <w:b/>
                <w:bCs/>
                <w:spacing w:val="-13"/>
                <w:w w:val="105"/>
                <w:sz w:val="20"/>
                <w:szCs w:val="20"/>
              </w:rPr>
              <w:t xml:space="preserve"> </w:t>
            </w:r>
            <w:r w:rsidRPr="007862BB">
              <w:rPr>
                <w:rFonts w:eastAsiaTheme="minorHAnsi"/>
                <w:b/>
                <w:bCs/>
                <w:w w:val="105"/>
                <w:sz w:val="20"/>
                <w:szCs w:val="20"/>
              </w:rPr>
              <w:t xml:space="preserve">Non- </w:t>
            </w:r>
            <w:r w:rsidRPr="007862BB">
              <w:rPr>
                <w:rFonts w:eastAsiaTheme="minorHAnsi"/>
                <w:b/>
                <w:bCs/>
                <w:spacing w:val="-2"/>
                <w:w w:val="105"/>
                <w:sz w:val="20"/>
                <w:szCs w:val="20"/>
              </w:rPr>
              <w:t>HFTD/HFRA</w:t>
            </w:r>
          </w:p>
        </w:tc>
      </w:tr>
      <w:tr w:rsidR="00175B7E" w:rsidRPr="00175B7E" w14:paraId="49693E74" w14:textId="77777777" w:rsidTr="00076409">
        <w:trPr>
          <w:trHeight w:val="762"/>
        </w:trPr>
        <w:tc>
          <w:tcPr>
            <w:tcW w:w="2575" w:type="dxa"/>
            <w:tcBorders>
              <w:top w:val="single" w:sz="4" w:space="0" w:color="000000"/>
              <w:left w:val="single" w:sz="4" w:space="0" w:color="000000"/>
              <w:bottom w:val="single" w:sz="4" w:space="0" w:color="000000"/>
              <w:right w:val="single" w:sz="4" w:space="0" w:color="000000"/>
            </w:tcBorders>
            <w:vAlign w:val="center"/>
          </w:tcPr>
          <w:p w14:paraId="5327A759" w14:textId="77777777" w:rsidR="00175B7E" w:rsidRPr="007862BB" w:rsidRDefault="00175B7E" w:rsidP="007862BB">
            <w:pPr>
              <w:kinsoku w:val="0"/>
              <w:overflowPunct w:val="0"/>
              <w:autoSpaceDE w:val="0"/>
              <w:autoSpaceDN w:val="0"/>
              <w:adjustRightInd w:val="0"/>
              <w:spacing w:before="142" w:line="300" w:lineRule="atLeast"/>
              <w:ind w:left="107"/>
              <w:jc w:val="center"/>
              <w:rPr>
                <w:rFonts w:eastAsiaTheme="minorHAnsi"/>
                <w:b/>
                <w:bCs/>
                <w:spacing w:val="-2"/>
                <w:w w:val="105"/>
                <w:sz w:val="20"/>
                <w:szCs w:val="20"/>
              </w:rPr>
            </w:pPr>
            <w:r w:rsidRPr="007862BB">
              <w:rPr>
                <w:rFonts w:eastAsiaTheme="minorHAnsi"/>
                <w:b/>
                <w:bCs/>
                <w:w w:val="105"/>
                <w:sz w:val="20"/>
                <w:szCs w:val="20"/>
              </w:rPr>
              <w:t xml:space="preserve">Patrol Inspections – </w:t>
            </w:r>
            <w:r w:rsidRPr="007862BB">
              <w:rPr>
                <w:rFonts w:eastAsiaTheme="minorHAnsi"/>
                <w:b/>
                <w:bCs/>
                <w:spacing w:val="-2"/>
                <w:w w:val="105"/>
                <w:sz w:val="20"/>
                <w:szCs w:val="20"/>
              </w:rPr>
              <w:t>Distribution</w:t>
            </w:r>
            <w:r w:rsidRPr="007862BB">
              <w:rPr>
                <w:rFonts w:eastAsiaTheme="minorHAnsi"/>
                <w:b/>
                <w:bCs/>
                <w:spacing w:val="-13"/>
                <w:w w:val="105"/>
                <w:sz w:val="20"/>
                <w:szCs w:val="20"/>
              </w:rPr>
              <w:t xml:space="preserve"> </w:t>
            </w:r>
            <w:r w:rsidRPr="007862BB">
              <w:rPr>
                <w:rFonts w:eastAsiaTheme="minorHAnsi"/>
                <w:b/>
                <w:bCs/>
                <w:spacing w:val="-2"/>
                <w:w w:val="105"/>
                <w:sz w:val="20"/>
                <w:szCs w:val="20"/>
              </w:rPr>
              <w:t>(VM-03)</w:t>
            </w:r>
          </w:p>
        </w:tc>
        <w:tc>
          <w:tcPr>
            <w:tcW w:w="1710" w:type="dxa"/>
            <w:tcBorders>
              <w:top w:val="single" w:sz="4" w:space="0" w:color="000000"/>
              <w:left w:val="single" w:sz="4" w:space="0" w:color="000000"/>
              <w:bottom w:val="single" w:sz="4" w:space="0" w:color="000000"/>
              <w:right w:val="single" w:sz="4" w:space="0" w:color="000000"/>
            </w:tcBorders>
            <w:vAlign w:val="center"/>
          </w:tcPr>
          <w:p w14:paraId="334BEE6E" w14:textId="77777777" w:rsidR="00175B7E" w:rsidRPr="007862BB" w:rsidRDefault="00175B7E" w:rsidP="007862BB">
            <w:pPr>
              <w:kinsoku w:val="0"/>
              <w:overflowPunct w:val="0"/>
              <w:autoSpaceDE w:val="0"/>
              <w:autoSpaceDN w:val="0"/>
              <w:adjustRightInd w:val="0"/>
              <w:spacing w:before="9"/>
              <w:ind w:left="108"/>
              <w:jc w:val="center"/>
              <w:rPr>
                <w:rFonts w:eastAsiaTheme="minorHAnsi"/>
                <w:spacing w:val="-4"/>
                <w:sz w:val="20"/>
                <w:szCs w:val="20"/>
              </w:rPr>
            </w:pPr>
            <w:r w:rsidRPr="007862BB">
              <w:rPr>
                <w:rFonts w:eastAsiaTheme="minorHAnsi"/>
                <w:spacing w:val="-4"/>
                <w:sz w:val="20"/>
                <w:szCs w:val="20"/>
              </w:rPr>
              <w:t>922</w:t>
            </w:r>
          </w:p>
        </w:tc>
        <w:tc>
          <w:tcPr>
            <w:tcW w:w="1535" w:type="dxa"/>
            <w:tcBorders>
              <w:top w:val="single" w:sz="4" w:space="0" w:color="000000"/>
              <w:left w:val="single" w:sz="4" w:space="0" w:color="000000"/>
              <w:bottom w:val="single" w:sz="4" w:space="0" w:color="000000"/>
              <w:right w:val="single" w:sz="4" w:space="0" w:color="000000"/>
            </w:tcBorders>
            <w:vAlign w:val="center"/>
          </w:tcPr>
          <w:p w14:paraId="0306B76C" w14:textId="77777777" w:rsidR="00175B7E" w:rsidRPr="007862BB" w:rsidRDefault="00175B7E" w:rsidP="007862BB">
            <w:pPr>
              <w:kinsoku w:val="0"/>
              <w:overflowPunct w:val="0"/>
              <w:autoSpaceDE w:val="0"/>
              <w:autoSpaceDN w:val="0"/>
              <w:adjustRightInd w:val="0"/>
              <w:jc w:val="center"/>
              <w:rPr>
                <w:rFonts w:eastAsiaTheme="minorHAnsi"/>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33B76C52" w14:textId="77777777" w:rsidR="00175B7E" w:rsidRPr="007862BB" w:rsidRDefault="00175B7E" w:rsidP="007862BB">
            <w:pPr>
              <w:kinsoku w:val="0"/>
              <w:overflowPunct w:val="0"/>
              <w:autoSpaceDE w:val="0"/>
              <w:autoSpaceDN w:val="0"/>
              <w:adjustRightInd w:val="0"/>
              <w:jc w:val="center"/>
              <w:rPr>
                <w:rFonts w:eastAsiaTheme="minorHAnsi"/>
                <w:sz w:val="20"/>
                <w:szCs w:val="20"/>
              </w:rPr>
            </w:pPr>
          </w:p>
        </w:tc>
        <w:tc>
          <w:tcPr>
            <w:tcW w:w="2477" w:type="dxa"/>
            <w:tcBorders>
              <w:top w:val="single" w:sz="4" w:space="0" w:color="000000"/>
              <w:left w:val="single" w:sz="4" w:space="0" w:color="000000"/>
              <w:bottom w:val="single" w:sz="4" w:space="0" w:color="000000"/>
              <w:right w:val="single" w:sz="4" w:space="0" w:color="000000"/>
            </w:tcBorders>
            <w:vAlign w:val="center"/>
          </w:tcPr>
          <w:p w14:paraId="1EC36793" w14:textId="77777777" w:rsidR="00175B7E" w:rsidRPr="007862BB" w:rsidRDefault="00175B7E" w:rsidP="007862BB">
            <w:pPr>
              <w:kinsoku w:val="0"/>
              <w:overflowPunct w:val="0"/>
              <w:autoSpaceDE w:val="0"/>
              <w:autoSpaceDN w:val="0"/>
              <w:adjustRightInd w:val="0"/>
              <w:jc w:val="center"/>
              <w:rPr>
                <w:rFonts w:eastAsiaTheme="minorHAnsi"/>
                <w:sz w:val="20"/>
                <w:szCs w:val="20"/>
              </w:rPr>
            </w:pPr>
          </w:p>
        </w:tc>
      </w:tr>
      <w:tr w:rsidR="00175B7E" w:rsidRPr="00175B7E" w14:paraId="77D646A3" w14:textId="77777777" w:rsidTr="00076409">
        <w:trPr>
          <w:trHeight w:val="1067"/>
        </w:trPr>
        <w:tc>
          <w:tcPr>
            <w:tcW w:w="2575" w:type="dxa"/>
            <w:tcBorders>
              <w:top w:val="single" w:sz="4" w:space="0" w:color="000000"/>
              <w:left w:val="single" w:sz="4" w:space="0" w:color="000000"/>
              <w:bottom w:val="single" w:sz="4" w:space="0" w:color="000000"/>
              <w:right w:val="single" w:sz="4" w:space="0" w:color="000000"/>
            </w:tcBorders>
            <w:vAlign w:val="center"/>
          </w:tcPr>
          <w:p w14:paraId="658DCFFD" w14:textId="77777777" w:rsidR="00175B7E" w:rsidRPr="007862BB" w:rsidRDefault="00175B7E" w:rsidP="007862BB">
            <w:pPr>
              <w:kinsoku w:val="0"/>
              <w:overflowPunct w:val="0"/>
              <w:autoSpaceDE w:val="0"/>
              <w:autoSpaceDN w:val="0"/>
              <w:adjustRightInd w:val="0"/>
              <w:spacing w:before="169"/>
              <w:ind w:left="107"/>
              <w:jc w:val="center"/>
              <w:rPr>
                <w:rFonts w:eastAsiaTheme="minorHAnsi"/>
                <w:b/>
                <w:bCs/>
                <w:w w:val="105"/>
                <w:sz w:val="20"/>
                <w:szCs w:val="20"/>
              </w:rPr>
            </w:pPr>
            <w:r w:rsidRPr="007862BB">
              <w:rPr>
                <w:rFonts w:eastAsiaTheme="minorHAnsi"/>
                <w:b/>
                <w:bCs/>
                <w:w w:val="105"/>
                <w:sz w:val="20"/>
                <w:szCs w:val="20"/>
              </w:rPr>
              <w:t>Patrol Inspections –</w:t>
            </w:r>
          </w:p>
          <w:p w14:paraId="0C7113AD" w14:textId="77777777" w:rsidR="00175B7E" w:rsidRPr="007862BB" w:rsidRDefault="00175B7E" w:rsidP="007862BB">
            <w:pPr>
              <w:kinsoku w:val="0"/>
              <w:overflowPunct w:val="0"/>
              <w:autoSpaceDE w:val="0"/>
              <w:autoSpaceDN w:val="0"/>
              <w:adjustRightInd w:val="0"/>
              <w:spacing w:line="300" w:lineRule="atLeast"/>
              <w:ind w:left="107" w:right="412"/>
              <w:jc w:val="center"/>
              <w:rPr>
                <w:rFonts w:eastAsiaTheme="minorHAnsi"/>
                <w:b/>
                <w:bCs/>
                <w:spacing w:val="-4"/>
                <w:w w:val="105"/>
                <w:sz w:val="20"/>
                <w:szCs w:val="20"/>
              </w:rPr>
            </w:pPr>
            <w:r w:rsidRPr="007862BB">
              <w:rPr>
                <w:rFonts w:eastAsiaTheme="minorHAnsi"/>
                <w:b/>
                <w:bCs/>
                <w:spacing w:val="-2"/>
                <w:w w:val="105"/>
                <w:sz w:val="20"/>
                <w:szCs w:val="20"/>
              </w:rPr>
              <w:t>Transmission</w:t>
            </w:r>
            <w:r w:rsidRPr="007862BB">
              <w:rPr>
                <w:rFonts w:eastAsiaTheme="minorHAnsi"/>
                <w:b/>
                <w:bCs/>
                <w:spacing w:val="-13"/>
                <w:w w:val="105"/>
                <w:sz w:val="20"/>
                <w:szCs w:val="20"/>
              </w:rPr>
              <w:t xml:space="preserve"> </w:t>
            </w:r>
            <w:r w:rsidRPr="007862BB">
              <w:rPr>
                <w:rFonts w:eastAsiaTheme="minorHAnsi"/>
                <w:b/>
                <w:bCs/>
                <w:spacing w:val="-2"/>
                <w:w w:val="105"/>
                <w:sz w:val="20"/>
                <w:szCs w:val="20"/>
              </w:rPr>
              <w:t xml:space="preserve">(VM- </w:t>
            </w:r>
            <w:r w:rsidRPr="007862BB">
              <w:rPr>
                <w:rFonts w:eastAsiaTheme="minorHAnsi"/>
                <w:b/>
                <w:bCs/>
                <w:spacing w:val="-4"/>
                <w:w w:val="105"/>
                <w:sz w:val="20"/>
                <w:szCs w:val="20"/>
              </w:rPr>
              <w:t>04)</w:t>
            </w:r>
          </w:p>
        </w:tc>
        <w:tc>
          <w:tcPr>
            <w:tcW w:w="1710" w:type="dxa"/>
            <w:tcBorders>
              <w:top w:val="single" w:sz="4" w:space="0" w:color="000000"/>
              <w:left w:val="single" w:sz="4" w:space="0" w:color="000000"/>
              <w:bottom w:val="single" w:sz="4" w:space="0" w:color="000000"/>
              <w:right w:val="single" w:sz="4" w:space="0" w:color="000000"/>
            </w:tcBorders>
            <w:vAlign w:val="center"/>
          </w:tcPr>
          <w:p w14:paraId="690C8380" w14:textId="77777777" w:rsidR="00175B7E" w:rsidRPr="007862BB" w:rsidRDefault="00175B7E" w:rsidP="007862BB">
            <w:pPr>
              <w:kinsoku w:val="0"/>
              <w:overflowPunct w:val="0"/>
              <w:autoSpaceDE w:val="0"/>
              <w:autoSpaceDN w:val="0"/>
              <w:adjustRightInd w:val="0"/>
              <w:spacing w:before="9"/>
              <w:ind w:left="108"/>
              <w:jc w:val="center"/>
              <w:rPr>
                <w:rFonts w:eastAsiaTheme="minorHAnsi"/>
                <w:spacing w:val="-4"/>
                <w:sz w:val="20"/>
                <w:szCs w:val="20"/>
              </w:rPr>
            </w:pPr>
            <w:r w:rsidRPr="007862BB">
              <w:rPr>
                <w:rFonts w:eastAsiaTheme="minorHAnsi"/>
                <w:spacing w:val="-4"/>
                <w:sz w:val="20"/>
                <w:szCs w:val="20"/>
              </w:rPr>
              <w:t>329</w:t>
            </w:r>
          </w:p>
        </w:tc>
        <w:tc>
          <w:tcPr>
            <w:tcW w:w="1535" w:type="dxa"/>
            <w:tcBorders>
              <w:top w:val="single" w:sz="4" w:space="0" w:color="000000"/>
              <w:left w:val="single" w:sz="4" w:space="0" w:color="000000"/>
              <w:bottom w:val="single" w:sz="4" w:space="0" w:color="000000"/>
              <w:right w:val="single" w:sz="4" w:space="0" w:color="000000"/>
            </w:tcBorders>
            <w:vAlign w:val="center"/>
          </w:tcPr>
          <w:p w14:paraId="201DB36C" w14:textId="77777777" w:rsidR="00175B7E" w:rsidRPr="007862BB" w:rsidRDefault="00175B7E" w:rsidP="007862BB">
            <w:pPr>
              <w:kinsoku w:val="0"/>
              <w:overflowPunct w:val="0"/>
              <w:autoSpaceDE w:val="0"/>
              <w:autoSpaceDN w:val="0"/>
              <w:adjustRightInd w:val="0"/>
              <w:jc w:val="center"/>
              <w:rPr>
                <w:rFonts w:eastAsiaTheme="minorHAnsi"/>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2E78FB9F" w14:textId="77777777" w:rsidR="00175B7E" w:rsidRPr="007862BB" w:rsidRDefault="00175B7E" w:rsidP="007862BB">
            <w:pPr>
              <w:kinsoku w:val="0"/>
              <w:overflowPunct w:val="0"/>
              <w:autoSpaceDE w:val="0"/>
              <w:autoSpaceDN w:val="0"/>
              <w:adjustRightInd w:val="0"/>
              <w:jc w:val="center"/>
              <w:rPr>
                <w:rFonts w:eastAsiaTheme="minorHAnsi"/>
                <w:sz w:val="20"/>
                <w:szCs w:val="20"/>
              </w:rPr>
            </w:pPr>
          </w:p>
        </w:tc>
        <w:tc>
          <w:tcPr>
            <w:tcW w:w="2477" w:type="dxa"/>
            <w:tcBorders>
              <w:top w:val="single" w:sz="4" w:space="0" w:color="000000"/>
              <w:left w:val="single" w:sz="4" w:space="0" w:color="000000"/>
              <w:bottom w:val="single" w:sz="4" w:space="0" w:color="000000"/>
              <w:right w:val="single" w:sz="4" w:space="0" w:color="000000"/>
            </w:tcBorders>
            <w:vAlign w:val="center"/>
          </w:tcPr>
          <w:p w14:paraId="7259BDE1" w14:textId="77777777" w:rsidR="00175B7E" w:rsidRPr="007862BB" w:rsidRDefault="00175B7E" w:rsidP="007862BB">
            <w:pPr>
              <w:kinsoku w:val="0"/>
              <w:overflowPunct w:val="0"/>
              <w:autoSpaceDE w:val="0"/>
              <w:autoSpaceDN w:val="0"/>
              <w:adjustRightInd w:val="0"/>
              <w:jc w:val="center"/>
              <w:rPr>
                <w:rFonts w:eastAsiaTheme="minorHAnsi"/>
                <w:sz w:val="20"/>
                <w:szCs w:val="20"/>
              </w:rPr>
            </w:pPr>
          </w:p>
        </w:tc>
      </w:tr>
    </w:tbl>
    <w:p w14:paraId="41C13098" w14:textId="77777777" w:rsidR="00175B7E" w:rsidRDefault="00175B7E" w:rsidP="00175B7E">
      <w:pPr>
        <w:rPr>
          <w:rFonts w:eastAsiaTheme="minorHAnsi"/>
          <w:b/>
          <w:bCs/>
        </w:rPr>
      </w:pPr>
    </w:p>
    <w:p w14:paraId="0572234E" w14:textId="77777777" w:rsidR="00175B7E" w:rsidRDefault="00175B7E" w:rsidP="00175B7E">
      <w:pPr>
        <w:rPr>
          <w:b/>
        </w:rPr>
      </w:pPr>
    </w:p>
    <w:p w14:paraId="78FC70E8" w14:textId="7B28CA36" w:rsidR="007A5C07" w:rsidRPr="002678C2" w:rsidRDefault="007A5C07" w:rsidP="00D31231">
      <w:pPr>
        <w:rPr>
          <w:b/>
        </w:rPr>
      </w:pPr>
      <w:r w:rsidRPr="002678C2">
        <w:rPr>
          <w:b/>
        </w:rPr>
        <w:t>Response</w:t>
      </w:r>
      <w:r w:rsidR="00200B1A" w:rsidRPr="002678C2">
        <w:rPr>
          <w:b/>
        </w:rPr>
        <w:t xml:space="preserve"> to </w:t>
      </w:r>
      <w:r w:rsidR="00C440FC" w:rsidRPr="002678C2">
        <w:rPr>
          <w:b/>
        </w:rPr>
        <w:t>OEIS</w:t>
      </w:r>
      <w:r w:rsidR="00AE3C4A" w:rsidRPr="002678C2">
        <w:rPr>
          <w:b/>
        </w:rPr>
        <w:t xml:space="preserve"> </w:t>
      </w:r>
      <w:r w:rsidR="00641734" w:rsidRPr="002678C2">
        <w:rPr>
          <w:b/>
        </w:rPr>
        <w:t xml:space="preserve">Data </w:t>
      </w:r>
      <w:r w:rsidR="008422EC" w:rsidRPr="002678C2">
        <w:rPr>
          <w:b/>
        </w:rPr>
        <w:t xml:space="preserve">Request </w:t>
      </w:r>
      <w:r w:rsidR="006D0770" w:rsidRPr="002678C2">
        <w:rPr>
          <w:b/>
        </w:rPr>
        <w:t>1</w:t>
      </w:r>
      <w:r w:rsidR="00822CF4" w:rsidRPr="002678C2">
        <w:rPr>
          <w:b/>
        </w:rPr>
        <w:t>.</w:t>
      </w:r>
      <w:r w:rsidR="00175B7E">
        <w:rPr>
          <w:b/>
        </w:rPr>
        <w:t>4</w:t>
      </w:r>
    </w:p>
    <w:p w14:paraId="29FF93F3" w14:textId="28FB18A1" w:rsidR="00213485" w:rsidRDefault="00213485" w:rsidP="00D31231">
      <w:pPr>
        <w:ind w:left="720"/>
        <w:rPr>
          <w:iCs/>
        </w:rPr>
      </w:pPr>
    </w:p>
    <w:p w14:paraId="30675CB1" w14:textId="778F4AA3" w:rsidR="00446A89" w:rsidRPr="00F13E6C" w:rsidRDefault="00F13E6C" w:rsidP="00D31231">
      <w:pPr>
        <w:pStyle w:val="ListParagraph"/>
        <w:numPr>
          <w:ilvl w:val="0"/>
          <w:numId w:val="18"/>
        </w:numPr>
        <w:spacing w:line="240" w:lineRule="auto"/>
        <w:rPr>
          <w:rFonts w:ascii="Times New Roman" w:hAnsi="Times New Roman" w:cs="Times New Roman"/>
          <w:iCs/>
          <w:sz w:val="24"/>
          <w:szCs w:val="24"/>
        </w:rPr>
      </w:pPr>
      <w:r w:rsidRPr="00F13E6C">
        <w:rPr>
          <w:rFonts w:ascii="Times New Roman" w:hAnsi="Times New Roman" w:cs="Times New Roman"/>
          <w:iCs/>
          <w:sz w:val="24"/>
          <w:szCs w:val="24"/>
        </w:rPr>
        <w:t xml:space="preserve">Patrol inspections in 2025 will take place in </w:t>
      </w:r>
      <w:r w:rsidR="00D31231">
        <w:rPr>
          <w:rFonts w:ascii="Times New Roman" w:hAnsi="Times New Roman" w:cs="Times New Roman"/>
          <w:iCs/>
          <w:sz w:val="24"/>
          <w:szCs w:val="24"/>
        </w:rPr>
        <w:t>h</w:t>
      </w:r>
      <w:r w:rsidRPr="00F13E6C">
        <w:rPr>
          <w:rFonts w:ascii="Times New Roman" w:hAnsi="Times New Roman" w:cs="Times New Roman"/>
          <w:iCs/>
          <w:sz w:val="24"/>
          <w:szCs w:val="24"/>
        </w:rPr>
        <w:t xml:space="preserve">igh </w:t>
      </w:r>
      <w:r w:rsidR="00D31231">
        <w:rPr>
          <w:rFonts w:ascii="Times New Roman" w:hAnsi="Times New Roman" w:cs="Times New Roman"/>
          <w:iCs/>
          <w:sz w:val="24"/>
          <w:szCs w:val="24"/>
        </w:rPr>
        <w:t>f</w:t>
      </w:r>
      <w:r w:rsidRPr="00F13E6C">
        <w:rPr>
          <w:rFonts w:ascii="Times New Roman" w:hAnsi="Times New Roman" w:cs="Times New Roman"/>
          <w:iCs/>
          <w:sz w:val="24"/>
          <w:szCs w:val="24"/>
        </w:rPr>
        <w:t xml:space="preserve">ire </w:t>
      </w:r>
      <w:r w:rsidR="00D31231">
        <w:rPr>
          <w:rFonts w:ascii="Times New Roman" w:hAnsi="Times New Roman" w:cs="Times New Roman"/>
          <w:iCs/>
          <w:sz w:val="24"/>
          <w:szCs w:val="24"/>
        </w:rPr>
        <w:t>t</w:t>
      </w:r>
      <w:r w:rsidRPr="00F13E6C">
        <w:rPr>
          <w:rFonts w:ascii="Times New Roman" w:hAnsi="Times New Roman" w:cs="Times New Roman"/>
          <w:iCs/>
          <w:sz w:val="24"/>
          <w:szCs w:val="24"/>
        </w:rPr>
        <w:t xml:space="preserve">hreat </w:t>
      </w:r>
      <w:r w:rsidR="00D31231">
        <w:rPr>
          <w:rFonts w:ascii="Times New Roman" w:hAnsi="Times New Roman" w:cs="Times New Roman"/>
          <w:iCs/>
          <w:sz w:val="24"/>
          <w:szCs w:val="24"/>
        </w:rPr>
        <w:t>d</w:t>
      </w:r>
      <w:r w:rsidRPr="00F13E6C">
        <w:rPr>
          <w:rFonts w:ascii="Times New Roman" w:hAnsi="Times New Roman" w:cs="Times New Roman"/>
          <w:iCs/>
          <w:sz w:val="24"/>
          <w:szCs w:val="24"/>
        </w:rPr>
        <w:t xml:space="preserve">istricts (HFTD), </w:t>
      </w:r>
      <w:r w:rsidR="00D31231">
        <w:rPr>
          <w:rFonts w:ascii="Times New Roman" w:hAnsi="Times New Roman" w:cs="Times New Roman"/>
          <w:iCs/>
          <w:sz w:val="24"/>
          <w:szCs w:val="24"/>
        </w:rPr>
        <w:t>h</w:t>
      </w:r>
      <w:r w:rsidRPr="00F13E6C">
        <w:rPr>
          <w:rFonts w:ascii="Times New Roman" w:hAnsi="Times New Roman" w:cs="Times New Roman"/>
          <w:iCs/>
          <w:sz w:val="24"/>
          <w:szCs w:val="24"/>
        </w:rPr>
        <w:t xml:space="preserve">igh </w:t>
      </w:r>
      <w:r w:rsidR="00D31231">
        <w:rPr>
          <w:rFonts w:ascii="Times New Roman" w:hAnsi="Times New Roman" w:cs="Times New Roman"/>
          <w:iCs/>
          <w:sz w:val="24"/>
          <w:szCs w:val="24"/>
        </w:rPr>
        <w:t>f</w:t>
      </w:r>
      <w:r w:rsidRPr="00F13E6C">
        <w:rPr>
          <w:rFonts w:ascii="Times New Roman" w:hAnsi="Times New Roman" w:cs="Times New Roman"/>
          <w:iCs/>
          <w:sz w:val="24"/>
          <w:szCs w:val="24"/>
        </w:rPr>
        <w:t xml:space="preserve">ire </w:t>
      </w:r>
      <w:r w:rsidR="00D31231">
        <w:rPr>
          <w:rFonts w:ascii="Times New Roman" w:hAnsi="Times New Roman" w:cs="Times New Roman"/>
          <w:iCs/>
          <w:sz w:val="24"/>
          <w:szCs w:val="24"/>
        </w:rPr>
        <w:t>r</w:t>
      </w:r>
      <w:r w:rsidRPr="00F13E6C">
        <w:rPr>
          <w:rFonts w:ascii="Times New Roman" w:hAnsi="Times New Roman" w:cs="Times New Roman"/>
          <w:iCs/>
          <w:sz w:val="24"/>
          <w:szCs w:val="24"/>
        </w:rPr>
        <w:t xml:space="preserve">isk </w:t>
      </w:r>
      <w:r w:rsidR="00D31231">
        <w:rPr>
          <w:rFonts w:ascii="Times New Roman" w:hAnsi="Times New Roman" w:cs="Times New Roman"/>
          <w:iCs/>
          <w:sz w:val="24"/>
          <w:szCs w:val="24"/>
        </w:rPr>
        <w:t>a</w:t>
      </w:r>
      <w:r w:rsidRPr="00F13E6C">
        <w:rPr>
          <w:rFonts w:ascii="Times New Roman" w:hAnsi="Times New Roman" w:cs="Times New Roman"/>
          <w:iCs/>
          <w:sz w:val="24"/>
          <w:szCs w:val="24"/>
        </w:rPr>
        <w:t>rea</w:t>
      </w:r>
      <w:r w:rsidR="00D31231">
        <w:rPr>
          <w:rFonts w:ascii="Times New Roman" w:hAnsi="Times New Roman" w:cs="Times New Roman"/>
          <w:iCs/>
          <w:sz w:val="24"/>
          <w:szCs w:val="24"/>
        </w:rPr>
        <w:t>s</w:t>
      </w:r>
      <w:r w:rsidRPr="00F13E6C">
        <w:rPr>
          <w:rFonts w:ascii="Times New Roman" w:hAnsi="Times New Roman" w:cs="Times New Roman"/>
          <w:iCs/>
          <w:sz w:val="24"/>
          <w:szCs w:val="24"/>
        </w:rPr>
        <w:t xml:space="preserve"> (HFRA), and non-HFTD/HFRA. PacifiCorp treats a circuit that may only have a portion of the line within </w:t>
      </w:r>
      <w:r w:rsidR="00945A8E">
        <w:rPr>
          <w:rFonts w:ascii="Times New Roman" w:hAnsi="Times New Roman" w:cs="Times New Roman"/>
          <w:iCs/>
          <w:sz w:val="24"/>
          <w:szCs w:val="24"/>
        </w:rPr>
        <w:t xml:space="preserve">a </w:t>
      </w:r>
      <w:r w:rsidRPr="00F13E6C">
        <w:rPr>
          <w:rFonts w:ascii="Times New Roman" w:hAnsi="Times New Roman" w:cs="Times New Roman"/>
          <w:iCs/>
          <w:sz w:val="24"/>
          <w:szCs w:val="24"/>
        </w:rPr>
        <w:t xml:space="preserve">HFTD or HFRA as though the entire line is </w:t>
      </w:r>
      <w:r w:rsidRPr="00F13E6C">
        <w:rPr>
          <w:rFonts w:ascii="Times New Roman" w:hAnsi="Times New Roman" w:cs="Times New Roman"/>
          <w:iCs/>
          <w:sz w:val="24"/>
          <w:szCs w:val="24"/>
        </w:rPr>
        <w:lastRenderedPageBreak/>
        <w:t xml:space="preserve">within </w:t>
      </w:r>
      <w:r w:rsidR="00945A8E">
        <w:rPr>
          <w:rFonts w:ascii="Times New Roman" w:hAnsi="Times New Roman" w:cs="Times New Roman"/>
          <w:iCs/>
          <w:sz w:val="24"/>
          <w:szCs w:val="24"/>
        </w:rPr>
        <w:t xml:space="preserve">a </w:t>
      </w:r>
      <w:r w:rsidRPr="00F13E6C">
        <w:rPr>
          <w:rFonts w:ascii="Times New Roman" w:hAnsi="Times New Roman" w:cs="Times New Roman"/>
          <w:iCs/>
          <w:sz w:val="24"/>
          <w:szCs w:val="24"/>
        </w:rPr>
        <w:t>HFTD or HFRA (electrically connected concept).</w:t>
      </w:r>
      <w:r w:rsidR="00D31231">
        <w:rPr>
          <w:rFonts w:ascii="Times New Roman" w:hAnsi="Times New Roman" w:cs="Times New Roman"/>
          <w:iCs/>
          <w:sz w:val="24"/>
          <w:szCs w:val="24"/>
        </w:rPr>
        <w:br/>
      </w:r>
    </w:p>
    <w:p w14:paraId="1CB04D2C" w14:textId="311DBDF7" w:rsidR="00F13E6C" w:rsidRPr="00F13E6C" w:rsidRDefault="00F13E6C" w:rsidP="00D31231">
      <w:pPr>
        <w:pStyle w:val="ListParagraph"/>
        <w:numPr>
          <w:ilvl w:val="1"/>
          <w:numId w:val="18"/>
        </w:numPr>
        <w:spacing w:line="240" w:lineRule="auto"/>
        <w:ind w:left="1440"/>
        <w:rPr>
          <w:rFonts w:ascii="Times New Roman" w:hAnsi="Times New Roman" w:cs="Times New Roman"/>
          <w:iCs/>
          <w:sz w:val="24"/>
          <w:szCs w:val="24"/>
        </w:rPr>
      </w:pPr>
      <w:r w:rsidRPr="00F13E6C">
        <w:rPr>
          <w:rFonts w:ascii="Times New Roman" w:hAnsi="Times New Roman" w:cs="Times New Roman"/>
          <w:iCs/>
          <w:sz w:val="24"/>
          <w:szCs w:val="24"/>
        </w:rPr>
        <w:t xml:space="preserve">PacifiCorp will provide updated targets in the Q2 </w:t>
      </w:r>
      <w:r w:rsidR="00767327">
        <w:rPr>
          <w:rFonts w:ascii="Times New Roman" w:hAnsi="Times New Roman" w:cs="Times New Roman"/>
          <w:iCs/>
          <w:sz w:val="24"/>
          <w:szCs w:val="24"/>
        </w:rPr>
        <w:t xml:space="preserve">2024 </w:t>
      </w:r>
      <w:r w:rsidRPr="00F13E6C">
        <w:rPr>
          <w:rFonts w:ascii="Times New Roman" w:hAnsi="Times New Roman" w:cs="Times New Roman"/>
          <w:iCs/>
          <w:sz w:val="24"/>
          <w:szCs w:val="24"/>
        </w:rPr>
        <w:t xml:space="preserve">Quarterly Data Report (QDR) submittal. Targets were not updated with HFRA totals.  </w:t>
      </w:r>
      <w:r w:rsidR="00D31231">
        <w:rPr>
          <w:rFonts w:ascii="Times New Roman" w:hAnsi="Times New Roman" w:cs="Times New Roman"/>
          <w:iCs/>
          <w:sz w:val="24"/>
          <w:szCs w:val="24"/>
        </w:rPr>
        <w:br/>
      </w:r>
    </w:p>
    <w:p w14:paraId="51895F97" w14:textId="5CCBAF7F" w:rsidR="00F13E6C" w:rsidRPr="00F13E6C" w:rsidRDefault="00F13E6C" w:rsidP="00D31231">
      <w:pPr>
        <w:pStyle w:val="ListParagraph"/>
        <w:numPr>
          <w:ilvl w:val="1"/>
          <w:numId w:val="18"/>
        </w:numPr>
        <w:spacing w:line="240" w:lineRule="auto"/>
        <w:ind w:left="1440"/>
        <w:rPr>
          <w:rFonts w:ascii="Times New Roman" w:hAnsi="Times New Roman" w:cs="Times New Roman"/>
          <w:iCs/>
          <w:sz w:val="24"/>
          <w:szCs w:val="24"/>
        </w:rPr>
      </w:pPr>
      <w:r w:rsidRPr="00F13E6C">
        <w:rPr>
          <w:rFonts w:ascii="Times New Roman" w:hAnsi="Times New Roman" w:cs="Times New Roman"/>
          <w:iCs/>
          <w:sz w:val="24"/>
          <w:szCs w:val="24"/>
        </w:rPr>
        <w:t xml:space="preserve">Updated forecasted expenditures will be provided in the Q2 </w:t>
      </w:r>
      <w:r w:rsidR="00767327">
        <w:rPr>
          <w:rFonts w:ascii="Times New Roman" w:hAnsi="Times New Roman" w:cs="Times New Roman"/>
          <w:iCs/>
          <w:sz w:val="24"/>
          <w:szCs w:val="24"/>
        </w:rPr>
        <w:t xml:space="preserve">2024 </w:t>
      </w:r>
      <w:r w:rsidRPr="00F13E6C">
        <w:rPr>
          <w:rFonts w:ascii="Times New Roman" w:hAnsi="Times New Roman" w:cs="Times New Roman"/>
          <w:iCs/>
          <w:sz w:val="24"/>
          <w:szCs w:val="24"/>
        </w:rPr>
        <w:t xml:space="preserve">QDR submittal.  Forecasted expenditures were not flagged in the 2025 </w:t>
      </w:r>
      <w:r w:rsidR="00D31231">
        <w:rPr>
          <w:rFonts w:ascii="Times New Roman" w:hAnsi="Times New Roman" w:cs="Times New Roman"/>
          <w:iCs/>
          <w:sz w:val="24"/>
          <w:szCs w:val="24"/>
        </w:rPr>
        <w:t>Wildfire Mitigation Plan (</w:t>
      </w:r>
      <w:r w:rsidRPr="00F13E6C">
        <w:rPr>
          <w:rFonts w:ascii="Times New Roman" w:hAnsi="Times New Roman" w:cs="Times New Roman"/>
          <w:iCs/>
          <w:sz w:val="24"/>
          <w:szCs w:val="24"/>
        </w:rPr>
        <w:t>WMP</w:t>
      </w:r>
      <w:r w:rsidR="00D31231">
        <w:rPr>
          <w:rFonts w:ascii="Times New Roman" w:hAnsi="Times New Roman" w:cs="Times New Roman"/>
          <w:iCs/>
          <w:sz w:val="24"/>
          <w:szCs w:val="24"/>
        </w:rPr>
        <w:t>)</w:t>
      </w:r>
      <w:r w:rsidRPr="00F13E6C">
        <w:rPr>
          <w:rFonts w:ascii="Times New Roman" w:hAnsi="Times New Roman" w:cs="Times New Roman"/>
          <w:iCs/>
          <w:sz w:val="24"/>
          <w:szCs w:val="24"/>
        </w:rPr>
        <w:t xml:space="preserve"> update as the change in forecasted expenditure did not meet the 20</w:t>
      </w:r>
      <w:r w:rsidR="00D31231">
        <w:rPr>
          <w:rFonts w:ascii="Times New Roman" w:hAnsi="Times New Roman" w:cs="Times New Roman"/>
          <w:iCs/>
          <w:sz w:val="24"/>
          <w:szCs w:val="24"/>
        </w:rPr>
        <w:t xml:space="preserve"> percent</w:t>
      </w:r>
      <w:r w:rsidRPr="00F13E6C">
        <w:rPr>
          <w:rFonts w:ascii="Times New Roman" w:hAnsi="Times New Roman" w:cs="Times New Roman"/>
          <w:iCs/>
          <w:sz w:val="24"/>
          <w:szCs w:val="24"/>
        </w:rPr>
        <w:t xml:space="preserve"> change threshold for reporting. Also, as described in PacifiCorp’s </w:t>
      </w:r>
      <w:r w:rsidR="00D31231">
        <w:rPr>
          <w:rFonts w:ascii="Times New Roman" w:hAnsi="Times New Roman" w:cs="Times New Roman"/>
          <w:iCs/>
          <w:sz w:val="24"/>
          <w:szCs w:val="24"/>
        </w:rPr>
        <w:t xml:space="preserve">2025 </w:t>
      </w:r>
      <w:r w:rsidRPr="00F13E6C">
        <w:rPr>
          <w:rFonts w:ascii="Times New Roman" w:hAnsi="Times New Roman" w:cs="Times New Roman"/>
          <w:iCs/>
          <w:sz w:val="24"/>
          <w:szCs w:val="24"/>
        </w:rPr>
        <w:t xml:space="preserve">WMP, if a portion of a distribution line is within </w:t>
      </w:r>
      <w:r w:rsidR="00645D7B">
        <w:rPr>
          <w:rFonts w:ascii="Times New Roman" w:hAnsi="Times New Roman" w:cs="Times New Roman"/>
          <w:iCs/>
          <w:sz w:val="24"/>
          <w:szCs w:val="24"/>
        </w:rPr>
        <w:t xml:space="preserve">a </w:t>
      </w:r>
      <w:r w:rsidRPr="00F13E6C">
        <w:rPr>
          <w:rFonts w:ascii="Times New Roman" w:hAnsi="Times New Roman" w:cs="Times New Roman"/>
          <w:iCs/>
          <w:sz w:val="24"/>
          <w:szCs w:val="24"/>
        </w:rPr>
        <w:t xml:space="preserve">HFTD, the entire distribution line is treated as though it is in </w:t>
      </w:r>
      <w:r w:rsidR="00645D7B">
        <w:rPr>
          <w:rFonts w:ascii="Times New Roman" w:hAnsi="Times New Roman" w:cs="Times New Roman"/>
          <w:iCs/>
          <w:sz w:val="24"/>
          <w:szCs w:val="24"/>
        </w:rPr>
        <w:t xml:space="preserve">a </w:t>
      </w:r>
      <w:r w:rsidRPr="00F13E6C">
        <w:rPr>
          <w:rFonts w:ascii="Times New Roman" w:hAnsi="Times New Roman" w:cs="Times New Roman"/>
          <w:iCs/>
          <w:sz w:val="24"/>
          <w:szCs w:val="24"/>
        </w:rPr>
        <w:t xml:space="preserve">HFTD and inspected under </w:t>
      </w:r>
      <w:r w:rsidR="00D31231">
        <w:rPr>
          <w:rFonts w:ascii="Times New Roman" w:hAnsi="Times New Roman" w:cs="Times New Roman"/>
          <w:iCs/>
          <w:sz w:val="24"/>
          <w:szCs w:val="24"/>
        </w:rPr>
        <w:t xml:space="preserve">initiative </w:t>
      </w:r>
      <w:r w:rsidRPr="00F13E6C">
        <w:rPr>
          <w:rFonts w:ascii="Times New Roman" w:hAnsi="Times New Roman" w:cs="Times New Roman"/>
          <w:iCs/>
          <w:sz w:val="24"/>
          <w:szCs w:val="24"/>
        </w:rPr>
        <w:t>VM-03. Therefore, line miles beyond HFTD</w:t>
      </w:r>
      <w:r w:rsidR="00645D7B">
        <w:rPr>
          <w:rFonts w:ascii="Times New Roman" w:hAnsi="Times New Roman" w:cs="Times New Roman"/>
          <w:iCs/>
          <w:sz w:val="24"/>
          <w:szCs w:val="24"/>
        </w:rPr>
        <w:t>s</w:t>
      </w:r>
      <w:r w:rsidRPr="00F13E6C">
        <w:rPr>
          <w:rFonts w:ascii="Times New Roman" w:hAnsi="Times New Roman" w:cs="Times New Roman"/>
          <w:iCs/>
          <w:sz w:val="24"/>
          <w:szCs w:val="24"/>
        </w:rPr>
        <w:t xml:space="preserve"> were included in the forecasted expenditures.</w:t>
      </w:r>
      <w:r w:rsidR="00D31231">
        <w:rPr>
          <w:rFonts w:ascii="Times New Roman" w:hAnsi="Times New Roman" w:cs="Times New Roman"/>
          <w:iCs/>
          <w:sz w:val="24"/>
          <w:szCs w:val="24"/>
        </w:rPr>
        <w:br/>
      </w:r>
    </w:p>
    <w:p w14:paraId="5620B182" w14:textId="1005829C" w:rsidR="00F13E6C" w:rsidRPr="00F13E6C" w:rsidRDefault="00F13E6C" w:rsidP="00D31231">
      <w:pPr>
        <w:pStyle w:val="ListParagraph"/>
        <w:numPr>
          <w:ilvl w:val="1"/>
          <w:numId w:val="18"/>
        </w:numPr>
        <w:spacing w:line="240" w:lineRule="auto"/>
        <w:ind w:left="1440"/>
        <w:rPr>
          <w:rFonts w:ascii="Times New Roman" w:hAnsi="Times New Roman" w:cs="Times New Roman"/>
          <w:iCs/>
          <w:sz w:val="24"/>
          <w:szCs w:val="24"/>
        </w:rPr>
      </w:pPr>
      <w:r w:rsidRPr="00F13E6C">
        <w:rPr>
          <w:rFonts w:ascii="Times New Roman" w:hAnsi="Times New Roman" w:cs="Times New Roman"/>
          <w:iCs/>
          <w:sz w:val="24"/>
          <w:szCs w:val="24"/>
        </w:rPr>
        <w:t>Patrol inspections are currently planned to occur beyond HFTD</w:t>
      </w:r>
      <w:r w:rsidR="00645D7B">
        <w:rPr>
          <w:rFonts w:ascii="Times New Roman" w:hAnsi="Times New Roman" w:cs="Times New Roman"/>
          <w:iCs/>
          <w:sz w:val="24"/>
          <w:szCs w:val="24"/>
        </w:rPr>
        <w:t>s</w:t>
      </w:r>
      <w:r w:rsidRPr="00F13E6C">
        <w:rPr>
          <w:rFonts w:ascii="Times New Roman" w:hAnsi="Times New Roman" w:cs="Times New Roman"/>
          <w:iCs/>
          <w:sz w:val="24"/>
          <w:szCs w:val="24"/>
        </w:rPr>
        <w:t xml:space="preserve"> in 2025. In addition, tree work conducted </w:t>
      </w:r>
      <w:proofErr w:type="gramStart"/>
      <w:r w:rsidRPr="00F13E6C">
        <w:rPr>
          <w:rFonts w:ascii="Times New Roman" w:hAnsi="Times New Roman" w:cs="Times New Roman"/>
          <w:iCs/>
          <w:sz w:val="24"/>
          <w:szCs w:val="24"/>
        </w:rPr>
        <w:t>as a result of</w:t>
      </w:r>
      <w:proofErr w:type="gramEnd"/>
      <w:r w:rsidRPr="00F13E6C">
        <w:rPr>
          <w:rFonts w:ascii="Times New Roman" w:hAnsi="Times New Roman" w:cs="Times New Roman"/>
          <w:iCs/>
          <w:sz w:val="24"/>
          <w:szCs w:val="24"/>
        </w:rPr>
        <w:t xml:space="preserve"> patrol inspections that occur in HFRA</w:t>
      </w:r>
      <w:r w:rsidR="00645D7B">
        <w:rPr>
          <w:rFonts w:ascii="Times New Roman" w:hAnsi="Times New Roman" w:cs="Times New Roman"/>
          <w:iCs/>
          <w:sz w:val="24"/>
          <w:szCs w:val="24"/>
        </w:rPr>
        <w:t>s</w:t>
      </w:r>
      <w:r w:rsidRPr="00F13E6C">
        <w:rPr>
          <w:rFonts w:ascii="Times New Roman" w:hAnsi="Times New Roman" w:cs="Times New Roman"/>
          <w:iCs/>
          <w:sz w:val="24"/>
          <w:szCs w:val="24"/>
        </w:rPr>
        <w:t>, will be targeted for post audit as part of initiative VM-11.</w:t>
      </w:r>
      <w:r w:rsidR="00D31231">
        <w:rPr>
          <w:rFonts w:ascii="Times New Roman" w:hAnsi="Times New Roman" w:cs="Times New Roman"/>
          <w:iCs/>
          <w:sz w:val="24"/>
          <w:szCs w:val="24"/>
        </w:rPr>
        <w:br/>
      </w:r>
    </w:p>
    <w:p w14:paraId="783679C4" w14:textId="4F2F496C" w:rsidR="00F13E6C" w:rsidRPr="00F13E6C" w:rsidRDefault="00F13E6C" w:rsidP="00D31231">
      <w:pPr>
        <w:pStyle w:val="ListParagraph"/>
        <w:numPr>
          <w:ilvl w:val="0"/>
          <w:numId w:val="18"/>
        </w:numPr>
        <w:spacing w:line="240" w:lineRule="auto"/>
        <w:rPr>
          <w:rFonts w:ascii="Times New Roman" w:hAnsi="Times New Roman" w:cs="Times New Roman"/>
          <w:iCs/>
          <w:sz w:val="24"/>
          <w:szCs w:val="24"/>
        </w:rPr>
      </w:pPr>
      <w:r w:rsidRPr="00F13E6C">
        <w:rPr>
          <w:rFonts w:ascii="Times New Roman" w:hAnsi="Times New Roman" w:cs="Times New Roman"/>
          <w:iCs/>
          <w:sz w:val="24"/>
          <w:szCs w:val="24"/>
        </w:rPr>
        <w:t xml:space="preserve">NOTE: </w:t>
      </w:r>
      <w:r w:rsidR="00E75E15">
        <w:rPr>
          <w:rFonts w:ascii="Times New Roman" w:hAnsi="Times New Roman" w:cs="Times New Roman"/>
          <w:iCs/>
          <w:sz w:val="24"/>
          <w:szCs w:val="24"/>
        </w:rPr>
        <w:t>T</w:t>
      </w:r>
      <w:r w:rsidRPr="00F13E6C">
        <w:rPr>
          <w:rFonts w:ascii="Times New Roman" w:hAnsi="Times New Roman" w:cs="Times New Roman"/>
          <w:iCs/>
          <w:sz w:val="24"/>
          <w:szCs w:val="24"/>
        </w:rPr>
        <w:t>argets</w:t>
      </w:r>
      <w:r w:rsidR="00E75E15">
        <w:rPr>
          <w:rFonts w:ascii="Times New Roman" w:hAnsi="Times New Roman" w:cs="Times New Roman"/>
          <w:iCs/>
          <w:sz w:val="24"/>
          <w:szCs w:val="24"/>
        </w:rPr>
        <w:t xml:space="preserve"> provided in the </w:t>
      </w:r>
      <w:r w:rsidR="006278A6">
        <w:rPr>
          <w:rFonts w:ascii="Times New Roman" w:hAnsi="Times New Roman" w:cs="Times New Roman"/>
          <w:iCs/>
          <w:sz w:val="24"/>
          <w:szCs w:val="24"/>
        </w:rPr>
        <w:t xml:space="preserve">Company’s </w:t>
      </w:r>
      <w:r w:rsidR="00E75E15">
        <w:rPr>
          <w:rFonts w:ascii="Times New Roman" w:hAnsi="Times New Roman" w:cs="Times New Roman"/>
          <w:iCs/>
          <w:sz w:val="24"/>
          <w:szCs w:val="24"/>
        </w:rPr>
        <w:t>W</w:t>
      </w:r>
      <w:r w:rsidR="006278A6">
        <w:rPr>
          <w:rFonts w:ascii="Times New Roman" w:hAnsi="Times New Roman" w:cs="Times New Roman"/>
          <w:iCs/>
          <w:sz w:val="24"/>
          <w:szCs w:val="24"/>
        </w:rPr>
        <w:t xml:space="preserve">ildfire </w:t>
      </w:r>
      <w:r w:rsidR="00E75E15">
        <w:rPr>
          <w:rFonts w:ascii="Times New Roman" w:hAnsi="Times New Roman" w:cs="Times New Roman"/>
          <w:iCs/>
          <w:sz w:val="24"/>
          <w:szCs w:val="24"/>
        </w:rPr>
        <w:t>M</w:t>
      </w:r>
      <w:r w:rsidR="006278A6">
        <w:rPr>
          <w:rFonts w:ascii="Times New Roman" w:hAnsi="Times New Roman" w:cs="Times New Roman"/>
          <w:iCs/>
          <w:sz w:val="24"/>
          <w:szCs w:val="24"/>
        </w:rPr>
        <w:t xml:space="preserve">itigation </w:t>
      </w:r>
      <w:r w:rsidR="00E75E15">
        <w:rPr>
          <w:rFonts w:ascii="Times New Roman" w:hAnsi="Times New Roman" w:cs="Times New Roman"/>
          <w:iCs/>
          <w:sz w:val="24"/>
          <w:szCs w:val="24"/>
        </w:rPr>
        <w:t>P</w:t>
      </w:r>
      <w:r w:rsidR="006278A6">
        <w:rPr>
          <w:rFonts w:ascii="Times New Roman" w:hAnsi="Times New Roman" w:cs="Times New Roman"/>
          <w:iCs/>
          <w:sz w:val="24"/>
          <w:szCs w:val="24"/>
        </w:rPr>
        <w:t>lan</w:t>
      </w:r>
      <w:r w:rsidR="00E75E15">
        <w:rPr>
          <w:rFonts w:ascii="Times New Roman" w:hAnsi="Times New Roman" w:cs="Times New Roman"/>
          <w:iCs/>
          <w:sz w:val="24"/>
          <w:szCs w:val="24"/>
        </w:rPr>
        <w:t xml:space="preserve"> were not finalized and</w:t>
      </w:r>
      <w:r w:rsidRPr="00F13E6C">
        <w:rPr>
          <w:rFonts w:ascii="Times New Roman" w:hAnsi="Times New Roman" w:cs="Times New Roman"/>
          <w:iCs/>
          <w:sz w:val="24"/>
          <w:szCs w:val="24"/>
        </w:rPr>
        <w:t xml:space="preserve"> will be updated in </w:t>
      </w:r>
      <w:r w:rsidR="00D31231">
        <w:rPr>
          <w:rFonts w:ascii="Times New Roman" w:hAnsi="Times New Roman" w:cs="Times New Roman"/>
          <w:iCs/>
          <w:sz w:val="24"/>
          <w:szCs w:val="24"/>
        </w:rPr>
        <w:t>PacifiCorp’s</w:t>
      </w:r>
      <w:r w:rsidRPr="00F13E6C">
        <w:rPr>
          <w:rFonts w:ascii="Times New Roman" w:hAnsi="Times New Roman" w:cs="Times New Roman"/>
          <w:iCs/>
          <w:sz w:val="24"/>
          <w:szCs w:val="24"/>
        </w:rPr>
        <w:t xml:space="preserve"> Q2</w:t>
      </w:r>
      <w:r w:rsidR="00D31231">
        <w:rPr>
          <w:rFonts w:ascii="Times New Roman" w:hAnsi="Times New Roman" w:cs="Times New Roman"/>
          <w:iCs/>
          <w:sz w:val="24"/>
          <w:szCs w:val="24"/>
        </w:rPr>
        <w:t xml:space="preserve"> 2024</w:t>
      </w:r>
      <w:r w:rsidRPr="00F13E6C">
        <w:rPr>
          <w:rFonts w:ascii="Times New Roman" w:hAnsi="Times New Roman" w:cs="Times New Roman"/>
          <w:iCs/>
          <w:sz w:val="24"/>
          <w:szCs w:val="24"/>
        </w:rPr>
        <w:t xml:space="preserve"> QDR submittal. </w:t>
      </w:r>
      <w:r w:rsidR="00D31231">
        <w:rPr>
          <w:rFonts w:ascii="Times New Roman" w:hAnsi="Times New Roman" w:cs="Times New Roman"/>
          <w:iCs/>
          <w:sz w:val="24"/>
          <w:szCs w:val="24"/>
        </w:rPr>
        <w:t>Please refer to the below table, which is</w:t>
      </w:r>
      <w:r w:rsidRPr="00F13E6C">
        <w:rPr>
          <w:rFonts w:ascii="Times New Roman" w:hAnsi="Times New Roman" w:cs="Times New Roman"/>
          <w:iCs/>
          <w:sz w:val="24"/>
          <w:szCs w:val="24"/>
        </w:rPr>
        <w:t xml:space="preserve"> provided for reference</w:t>
      </w:r>
      <w:r w:rsidR="00D31231">
        <w:rPr>
          <w:rFonts w:ascii="Times New Roman" w:hAnsi="Times New Roman" w:cs="Times New Roman"/>
          <w:iCs/>
          <w:sz w:val="24"/>
          <w:szCs w:val="24"/>
        </w:rPr>
        <w:t>:</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F13E6C" w14:paraId="2DE072BA" w14:textId="77777777" w:rsidTr="00D31231">
        <w:trPr>
          <w:jc w:val="center"/>
        </w:trPr>
        <w:tc>
          <w:tcPr>
            <w:tcW w:w="1870" w:type="dxa"/>
            <w:vAlign w:val="center"/>
          </w:tcPr>
          <w:p w14:paraId="73D1575D" w14:textId="77777777" w:rsidR="00F13E6C" w:rsidRPr="00D31231" w:rsidRDefault="00F13E6C" w:rsidP="00D31231">
            <w:pPr>
              <w:jc w:val="center"/>
              <w:rPr>
                <w:b/>
                <w:bCs/>
                <w:sz w:val="20"/>
                <w:szCs w:val="20"/>
              </w:rPr>
            </w:pPr>
            <w:r w:rsidRPr="00D31231">
              <w:rPr>
                <w:b/>
                <w:bCs/>
                <w:sz w:val="20"/>
                <w:szCs w:val="20"/>
              </w:rPr>
              <w:t>Initiative</w:t>
            </w:r>
          </w:p>
        </w:tc>
        <w:tc>
          <w:tcPr>
            <w:tcW w:w="1870" w:type="dxa"/>
            <w:vAlign w:val="center"/>
          </w:tcPr>
          <w:p w14:paraId="411178EE" w14:textId="366EC30C" w:rsidR="00F13E6C" w:rsidRPr="00D31231" w:rsidRDefault="00F13E6C" w:rsidP="00D31231">
            <w:pPr>
              <w:jc w:val="center"/>
              <w:rPr>
                <w:b/>
                <w:bCs/>
                <w:sz w:val="20"/>
                <w:szCs w:val="20"/>
              </w:rPr>
            </w:pPr>
            <w:r w:rsidRPr="00D31231">
              <w:rPr>
                <w:b/>
                <w:bCs/>
                <w:sz w:val="20"/>
                <w:szCs w:val="20"/>
              </w:rPr>
              <w:t>2025 Target (Circuit Miles)</w:t>
            </w:r>
          </w:p>
        </w:tc>
        <w:tc>
          <w:tcPr>
            <w:tcW w:w="1870" w:type="dxa"/>
            <w:vAlign w:val="center"/>
          </w:tcPr>
          <w:p w14:paraId="56591CE6" w14:textId="77777777" w:rsidR="00F13E6C" w:rsidRPr="00D31231" w:rsidRDefault="00F13E6C" w:rsidP="00D31231">
            <w:pPr>
              <w:jc w:val="center"/>
              <w:rPr>
                <w:b/>
                <w:bCs/>
                <w:sz w:val="20"/>
                <w:szCs w:val="20"/>
              </w:rPr>
            </w:pPr>
            <w:r w:rsidRPr="00D31231">
              <w:rPr>
                <w:b/>
                <w:bCs/>
                <w:sz w:val="20"/>
                <w:szCs w:val="20"/>
              </w:rPr>
              <w:t>Circuit Miles of 2025 Target in HFTD</w:t>
            </w:r>
          </w:p>
        </w:tc>
        <w:tc>
          <w:tcPr>
            <w:tcW w:w="1870" w:type="dxa"/>
            <w:vAlign w:val="center"/>
          </w:tcPr>
          <w:p w14:paraId="33B6869C" w14:textId="77777777" w:rsidR="00F13E6C" w:rsidRPr="00D31231" w:rsidRDefault="00F13E6C" w:rsidP="00D31231">
            <w:pPr>
              <w:jc w:val="center"/>
              <w:rPr>
                <w:b/>
                <w:bCs/>
                <w:sz w:val="20"/>
                <w:szCs w:val="20"/>
              </w:rPr>
            </w:pPr>
            <w:r w:rsidRPr="00D31231">
              <w:rPr>
                <w:b/>
                <w:bCs/>
                <w:sz w:val="20"/>
                <w:szCs w:val="20"/>
              </w:rPr>
              <w:t>Circuit Miles of 2025 Target in HFRA</w:t>
            </w:r>
          </w:p>
        </w:tc>
        <w:tc>
          <w:tcPr>
            <w:tcW w:w="1870" w:type="dxa"/>
            <w:vAlign w:val="center"/>
          </w:tcPr>
          <w:p w14:paraId="7C56ED74" w14:textId="2807524E" w:rsidR="00F13E6C" w:rsidRPr="00D31231" w:rsidRDefault="00F13E6C" w:rsidP="00D31231">
            <w:pPr>
              <w:jc w:val="center"/>
              <w:rPr>
                <w:b/>
                <w:bCs/>
                <w:sz w:val="20"/>
                <w:szCs w:val="20"/>
              </w:rPr>
            </w:pPr>
            <w:r w:rsidRPr="00D31231">
              <w:rPr>
                <w:b/>
                <w:bCs/>
                <w:sz w:val="20"/>
                <w:szCs w:val="20"/>
              </w:rPr>
              <w:t>Circuit Miles of 2025 Target in Non-HFTD/HFRA</w:t>
            </w:r>
          </w:p>
        </w:tc>
      </w:tr>
      <w:tr w:rsidR="00F13E6C" w14:paraId="755C4213" w14:textId="77777777" w:rsidTr="00D31231">
        <w:trPr>
          <w:jc w:val="center"/>
        </w:trPr>
        <w:tc>
          <w:tcPr>
            <w:tcW w:w="1870" w:type="dxa"/>
            <w:vAlign w:val="center"/>
          </w:tcPr>
          <w:p w14:paraId="169E1F84" w14:textId="77777777" w:rsidR="00F13E6C" w:rsidRPr="00D31231" w:rsidRDefault="00F13E6C" w:rsidP="00D31231">
            <w:pPr>
              <w:jc w:val="center"/>
              <w:rPr>
                <w:b/>
                <w:bCs/>
                <w:sz w:val="20"/>
                <w:szCs w:val="20"/>
              </w:rPr>
            </w:pPr>
            <w:r w:rsidRPr="00D31231">
              <w:rPr>
                <w:b/>
                <w:bCs/>
                <w:sz w:val="20"/>
                <w:szCs w:val="20"/>
              </w:rPr>
              <w:t>Patrol Inspections – Distribution (VM-03)</w:t>
            </w:r>
          </w:p>
        </w:tc>
        <w:tc>
          <w:tcPr>
            <w:tcW w:w="1870" w:type="dxa"/>
            <w:vAlign w:val="center"/>
          </w:tcPr>
          <w:p w14:paraId="4B2BCB8A" w14:textId="77777777" w:rsidR="00F13E6C" w:rsidRPr="00D31231" w:rsidRDefault="00F13E6C" w:rsidP="00D31231">
            <w:pPr>
              <w:jc w:val="center"/>
              <w:rPr>
                <w:sz w:val="20"/>
                <w:szCs w:val="20"/>
              </w:rPr>
            </w:pPr>
            <w:r w:rsidRPr="006278A6">
              <w:rPr>
                <w:sz w:val="20"/>
                <w:szCs w:val="20"/>
                <w:highlight w:val="cyan"/>
              </w:rPr>
              <w:t>1,182</w:t>
            </w:r>
          </w:p>
        </w:tc>
        <w:tc>
          <w:tcPr>
            <w:tcW w:w="1870" w:type="dxa"/>
            <w:vAlign w:val="center"/>
          </w:tcPr>
          <w:p w14:paraId="6A2C5D00" w14:textId="77777777" w:rsidR="00F13E6C" w:rsidRPr="00767327" w:rsidRDefault="00F13E6C" w:rsidP="00D31231">
            <w:pPr>
              <w:jc w:val="center"/>
              <w:rPr>
                <w:sz w:val="20"/>
                <w:szCs w:val="20"/>
              </w:rPr>
            </w:pPr>
            <w:r w:rsidRPr="00767327">
              <w:rPr>
                <w:sz w:val="20"/>
                <w:szCs w:val="20"/>
              </w:rPr>
              <w:t>676</w:t>
            </w:r>
          </w:p>
        </w:tc>
        <w:tc>
          <w:tcPr>
            <w:tcW w:w="1870" w:type="dxa"/>
            <w:vAlign w:val="center"/>
          </w:tcPr>
          <w:p w14:paraId="42F8AA1B" w14:textId="77777777" w:rsidR="00F13E6C" w:rsidRPr="00767327" w:rsidRDefault="00F13E6C" w:rsidP="00D31231">
            <w:pPr>
              <w:jc w:val="center"/>
              <w:rPr>
                <w:sz w:val="20"/>
                <w:szCs w:val="20"/>
              </w:rPr>
            </w:pPr>
            <w:r w:rsidRPr="00767327">
              <w:rPr>
                <w:sz w:val="20"/>
                <w:szCs w:val="20"/>
              </w:rPr>
              <w:t>161</w:t>
            </w:r>
          </w:p>
        </w:tc>
        <w:tc>
          <w:tcPr>
            <w:tcW w:w="1870" w:type="dxa"/>
            <w:vAlign w:val="center"/>
          </w:tcPr>
          <w:p w14:paraId="58A2B73B" w14:textId="77777777" w:rsidR="00F13E6C" w:rsidRPr="00767327" w:rsidRDefault="00F13E6C" w:rsidP="00D31231">
            <w:pPr>
              <w:jc w:val="center"/>
              <w:rPr>
                <w:sz w:val="20"/>
                <w:szCs w:val="20"/>
              </w:rPr>
            </w:pPr>
            <w:r w:rsidRPr="00767327">
              <w:rPr>
                <w:sz w:val="20"/>
                <w:szCs w:val="20"/>
              </w:rPr>
              <w:t>346</w:t>
            </w:r>
          </w:p>
        </w:tc>
      </w:tr>
      <w:tr w:rsidR="00F13E6C" w14:paraId="40ADCF9A" w14:textId="77777777" w:rsidTr="00D31231">
        <w:trPr>
          <w:jc w:val="center"/>
        </w:trPr>
        <w:tc>
          <w:tcPr>
            <w:tcW w:w="1870" w:type="dxa"/>
            <w:vAlign w:val="center"/>
          </w:tcPr>
          <w:p w14:paraId="6F5FC577" w14:textId="77777777" w:rsidR="00F13E6C" w:rsidRPr="00D31231" w:rsidRDefault="00F13E6C" w:rsidP="00D31231">
            <w:pPr>
              <w:jc w:val="center"/>
              <w:rPr>
                <w:b/>
                <w:bCs/>
                <w:sz w:val="20"/>
                <w:szCs w:val="20"/>
              </w:rPr>
            </w:pPr>
            <w:r w:rsidRPr="00D31231">
              <w:rPr>
                <w:b/>
                <w:bCs/>
                <w:sz w:val="20"/>
                <w:szCs w:val="20"/>
              </w:rPr>
              <w:t>Patrol Inspections – Transmission (VM04)</w:t>
            </w:r>
          </w:p>
        </w:tc>
        <w:tc>
          <w:tcPr>
            <w:tcW w:w="1870" w:type="dxa"/>
            <w:vAlign w:val="center"/>
          </w:tcPr>
          <w:p w14:paraId="48275C18" w14:textId="77777777" w:rsidR="00F13E6C" w:rsidRPr="00D31231" w:rsidRDefault="00F13E6C" w:rsidP="00D31231">
            <w:pPr>
              <w:jc w:val="center"/>
              <w:rPr>
                <w:sz w:val="20"/>
                <w:szCs w:val="20"/>
                <w:highlight w:val="green"/>
              </w:rPr>
            </w:pPr>
            <w:r w:rsidRPr="006278A6">
              <w:rPr>
                <w:sz w:val="20"/>
                <w:szCs w:val="20"/>
                <w:highlight w:val="cyan"/>
              </w:rPr>
              <w:t>417</w:t>
            </w:r>
          </w:p>
        </w:tc>
        <w:tc>
          <w:tcPr>
            <w:tcW w:w="1870" w:type="dxa"/>
            <w:vAlign w:val="center"/>
          </w:tcPr>
          <w:p w14:paraId="2904D3EB" w14:textId="77777777" w:rsidR="00F13E6C" w:rsidRPr="00767327" w:rsidRDefault="00F13E6C" w:rsidP="00D31231">
            <w:pPr>
              <w:jc w:val="center"/>
              <w:rPr>
                <w:sz w:val="20"/>
                <w:szCs w:val="20"/>
              </w:rPr>
            </w:pPr>
            <w:r w:rsidRPr="00767327">
              <w:rPr>
                <w:sz w:val="20"/>
                <w:szCs w:val="20"/>
              </w:rPr>
              <w:t>299</w:t>
            </w:r>
          </w:p>
        </w:tc>
        <w:tc>
          <w:tcPr>
            <w:tcW w:w="1870" w:type="dxa"/>
            <w:vAlign w:val="center"/>
          </w:tcPr>
          <w:p w14:paraId="3942B7FC" w14:textId="77777777" w:rsidR="00F13E6C" w:rsidRPr="00767327" w:rsidRDefault="00F13E6C" w:rsidP="00D31231">
            <w:pPr>
              <w:jc w:val="center"/>
              <w:rPr>
                <w:sz w:val="20"/>
                <w:szCs w:val="20"/>
              </w:rPr>
            </w:pPr>
            <w:r w:rsidRPr="00767327">
              <w:rPr>
                <w:sz w:val="20"/>
                <w:szCs w:val="20"/>
              </w:rPr>
              <w:t>6</w:t>
            </w:r>
          </w:p>
        </w:tc>
        <w:tc>
          <w:tcPr>
            <w:tcW w:w="1870" w:type="dxa"/>
            <w:vAlign w:val="center"/>
          </w:tcPr>
          <w:p w14:paraId="4F9921AD" w14:textId="77777777" w:rsidR="00F13E6C" w:rsidRPr="00767327" w:rsidRDefault="00F13E6C" w:rsidP="00D31231">
            <w:pPr>
              <w:jc w:val="center"/>
              <w:rPr>
                <w:sz w:val="20"/>
                <w:szCs w:val="20"/>
              </w:rPr>
            </w:pPr>
            <w:r w:rsidRPr="00767327">
              <w:rPr>
                <w:sz w:val="20"/>
                <w:szCs w:val="20"/>
              </w:rPr>
              <w:t>111</w:t>
            </w:r>
          </w:p>
        </w:tc>
      </w:tr>
    </w:tbl>
    <w:p w14:paraId="387A04BF" w14:textId="77777777" w:rsidR="00F13E6C" w:rsidRPr="00F13E6C" w:rsidRDefault="00F13E6C" w:rsidP="00D31231">
      <w:pPr>
        <w:ind w:left="1080"/>
        <w:rPr>
          <w:iCs/>
        </w:rPr>
      </w:pPr>
    </w:p>
    <w:p w14:paraId="052BAE3C" w14:textId="77777777" w:rsidR="00446A89" w:rsidRDefault="00446A89" w:rsidP="00D31231">
      <w:pPr>
        <w:rPr>
          <w:iCs/>
        </w:rPr>
      </w:pPr>
    </w:p>
    <w:p w14:paraId="4911D058" w14:textId="77777777" w:rsidR="00446A89" w:rsidRDefault="00446A89" w:rsidP="00D31231">
      <w:pPr>
        <w:ind w:left="720"/>
        <w:rPr>
          <w:iCs/>
        </w:rPr>
      </w:pPr>
    </w:p>
    <w:p w14:paraId="09354CD6" w14:textId="77777777" w:rsidR="00446A89" w:rsidRDefault="00446A89" w:rsidP="00D31231">
      <w:pPr>
        <w:ind w:left="720"/>
        <w:rPr>
          <w:iCs/>
        </w:rPr>
      </w:pPr>
    </w:p>
    <w:p w14:paraId="58F91730" w14:textId="77777777" w:rsidR="00446A89" w:rsidRPr="002678C2" w:rsidRDefault="00446A89" w:rsidP="002678C2">
      <w:pPr>
        <w:ind w:left="720"/>
        <w:rPr>
          <w:iCs/>
        </w:rPr>
      </w:pPr>
    </w:p>
    <w:sectPr w:rsidR="00446A89" w:rsidRPr="002678C2" w:rsidSect="0097495F">
      <w:headerReference w:type="default" r:id="rId8"/>
      <w:footerReference w:type="default" r:id="rId9"/>
      <w:footnotePr>
        <w:numStart w:val="7"/>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642097F6" w:rsidR="007A5C07" w:rsidRPr="005124F5" w:rsidRDefault="00BE73D3" w:rsidP="007A5C07">
    <w:r>
      <w:t>July 2</w:t>
    </w:r>
    <w:r w:rsidR="00F61976">
      <w:t>9</w:t>
    </w:r>
    <w:r>
      <w:t>, 202</w:t>
    </w:r>
    <w:r w:rsidR="00446A89">
      <w:t>4</w:t>
    </w:r>
  </w:p>
  <w:p w14:paraId="2452B3BF" w14:textId="4052F001" w:rsidR="00AB6025" w:rsidRDefault="00446A89" w:rsidP="00AB6025">
    <w:pPr>
      <w:rPr>
        <w:rFonts w:eastAsiaTheme="minorHAnsi"/>
        <w:bCs/>
        <w:color w:val="000000"/>
      </w:rPr>
    </w:pPr>
    <w:r w:rsidRPr="00446A89">
      <w:rPr>
        <w:rFonts w:eastAsiaTheme="minorHAnsi"/>
        <w:bCs/>
        <w:color w:val="000000"/>
      </w:rPr>
      <w:t>OEIS-P-WMP_2024-PC-01</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99388C"/>
    <w:multiLevelType w:val="hybridMultilevel"/>
    <w:tmpl w:val="F3F6B348"/>
    <w:lvl w:ilvl="0" w:tplc="8DB2676C">
      <w:start w:val="1"/>
      <w:numFmt w:val="lowerLetter"/>
      <w:lvlText w:val="(%1)"/>
      <w:lvlJc w:val="left"/>
      <w:pPr>
        <w:ind w:left="1080" w:hanging="360"/>
      </w:pPr>
      <w:rPr>
        <w:rFonts w:hint="default"/>
      </w:rPr>
    </w:lvl>
    <w:lvl w:ilvl="1" w:tplc="41304D0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66585"/>
    <w:multiLevelType w:val="hybridMultilevel"/>
    <w:tmpl w:val="D900922A"/>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1B656E"/>
    <w:multiLevelType w:val="hybridMultilevel"/>
    <w:tmpl w:val="982EB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7"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394C73"/>
    <w:multiLevelType w:val="hybridMultilevel"/>
    <w:tmpl w:val="C1C4F5F0"/>
    <w:lvl w:ilvl="0" w:tplc="7E700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461436"/>
    <w:multiLevelType w:val="hybridMultilevel"/>
    <w:tmpl w:val="D1D69026"/>
    <w:lvl w:ilvl="0" w:tplc="8DB2676C">
      <w:start w:val="1"/>
      <w:numFmt w:val="lowerLetter"/>
      <w:lvlText w:val="(%1)"/>
      <w:lvlJc w:val="left"/>
      <w:pPr>
        <w:ind w:left="1080" w:hanging="360"/>
      </w:pPr>
      <w:rPr>
        <w:rFonts w:hint="default"/>
      </w:rPr>
    </w:lvl>
    <w:lvl w:ilvl="1" w:tplc="1FBE0836">
      <w:start w:val="1"/>
      <w:numFmt w:val="lowerRoman"/>
      <w:lvlText w:val="%2."/>
      <w:lvlJc w:val="left"/>
      <w:pPr>
        <w:ind w:left="2160" w:hanging="720"/>
      </w:pPr>
      <w:rPr>
        <w:rFonts w:hint="default"/>
      </w:rPr>
    </w:lvl>
    <w:lvl w:ilvl="2" w:tplc="6706C82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15"/>
  </w:num>
  <w:num w:numId="4" w16cid:durableId="170798991">
    <w:abstractNumId w:val="17"/>
  </w:num>
  <w:num w:numId="5" w16cid:durableId="390352810">
    <w:abstractNumId w:val="0"/>
  </w:num>
  <w:num w:numId="6" w16cid:durableId="845822299">
    <w:abstractNumId w:val="5"/>
  </w:num>
  <w:num w:numId="7" w16cid:durableId="440540217">
    <w:abstractNumId w:val="14"/>
  </w:num>
  <w:num w:numId="8" w16cid:durableId="1585647602">
    <w:abstractNumId w:val="13"/>
  </w:num>
  <w:num w:numId="9" w16cid:durableId="160856750">
    <w:abstractNumId w:val="6"/>
  </w:num>
  <w:num w:numId="10" w16cid:durableId="81152084">
    <w:abstractNumId w:val="9"/>
  </w:num>
  <w:num w:numId="11" w16cid:durableId="787621791">
    <w:abstractNumId w:val="7"/>
  </w:num>
  <w:num w:numId="12" w16cid:durableId="1858734263">
    <w:abstractNumId w:val="11"/>
  </w:num>
  <w:num w:numId="13" w16cid:durableId="1607804467">
    <w:abstractNumId w:val="16"/>
  </w:num>
  <w:num w:numId="14" w16cid:durableId="1423840982">
    <w:abstractNumId w:val="12"/>
  </w:num>
  <w:num w:numId="15" w16cid:durableId="510337023">
    <w:abstractNumId w:val="10"/>
  </w:num>
  <w:num w:numId="16" w16cid:durableId="354699325">
    <w:abstractNumId w:val="2"/>
  </w:num>
  <w:num w:numId="17" w16cid:durableId="813639930">
    <w:abstractNumId w:val="4"/>
  </w:num>
  <w:num w:numId="18" w16cid:durableId="178369339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BRw042+688Jm5rM/RN4ryMQLvt8hkOxi4EFQzW/EDbLuxFUZexR52YW8xBSDASOLkdOFn4SHQvh/dQ6nDtQDuQ==" w:salt="jn3gPQKQRoLxFdeaRMEJOQ=="/>
  <w:defaultTabStop w:val="720"/>
  <w:characterSpacingControl w:val="doNotCompress"/>
  <w:hdrShapeDefaults>
    <o:shapedefaults v:ext="edit" spidmax="296961"/>
  </w:hdrShapeDefault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06F51"/>
    <w:rsid w:val="00011D9F"/>
    <w:rsid w:val="00023034"/>
    <w:rsid w:val="00024D6C"/>
    <w:rsid w:val="000473C2"/>
    <w:rsid w:val="00064243"/>
    <w:rsid w:val="00066377"/>
    <w:rsid w:val="00073995"/>
    <w:rsid w:val="00074712"/>
    <w:rsid w:val="00076409"/>
    <w:rsid w:val="00081226"/>
    <w:rsid w:val="0009404A"/>
    <w:rsid w:val="000B696A"/>
    <w:rsid w:val="000C1842"/>
    <w:rsid w:val="000C6673"/>
    <w:rsid w:val="000C6A98"/>
    <w:rsid w:val="000D0CA8"/>
    <w:rsid w:val="000D4A17"/>
    <w:rsid w:val="000D5519"/>
    <w:rsid w:val="000E5C80"/>
    <w:rsid w:val="000F00A5"/>
    <w:rsid w:val="000F0C0A"/>
    <w:rsid w:val="000F3A35"/>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1E9D"/>
    <w:rsid w:val="00162C14"/>
    <w:rsid w:val="00165553"/>
    <w:rsid w:val="00166ABF"/>
    <w:rsid w:val="001674D0"/>
    <w:rsid w:val="00175B7E"/>
    <w:rsid w:val="00175DD7"/>
    <w:rsid w:val="00175DE3"/>
    <w:rsid w:val="0017690E"/>
    <w:rsid w:val="00195E17"/>
    <w:rsid w:val="001A39B3"/>
    <w:rsid w:val="001A5C34"/>
    <w:rsid w:val="001B3A7A"/>
    <w:rsid w:val="001B3AEE"/>
    <w:rsid w:val="001C2C53"/>
    <w:rsid w:val="001C34A0"/>
    <w:rsid w:val="001C6A08"/>
    <w:rsid w:val="001D43FA"/>
    <w:rsid w:val="001F7C18"/>
    <w:rsid w:val="002005C6"/>
    <w:rsid w:val="00200B1A"/>
    <w:rsid w:val="00204CE5"/>
    <w:rsid w:val="00213485"/>
    <w:rsid w:val="0023041C"/>
    <w:rsid w:val="002314D3"/>
    <w:rsid w:val="002323A2"/>
    <w:rsid w:val="00234A62"/>
    <w:rsid w:val="00235A45"/>
    <w:rsid w:val="00257727"/>
    <w:rsid w:val="00265E16"/>
    <w:rsid w:val="002678C2"/>
    <w:rsid w:val="00270247"/>
    <w:rsid w:val="00280562"/>
    <w:rsid w:val="00280739"/>
    <w:rsid w:val="0028653D"/>
    <w:rsid w:val="00287872"/>
    <w:rsid w:val="002908B3"/>
    <w:rsid w:val="002D1578"/>
    <w:rsid w:val="002D3655"/>
    <w:rsid w:val="002E65CA"/>
    <w:rsid w:val="002F082D"/>
    <w:rsid w:val="00313BD0"/>
    <w:rsid w:val="0031402C"/>
    <w:rsid w:val="00323C1E"/>
    <w:rsid w:val="00323D09"/>
    <w:rsid w:val="00325015"/>
    <w:rsid w:val="00325926"/>
    <w:rsid w:val="00325ACD"/>
    <w:rsid w:val="00331CB1"/>
    <w:rsid w:val="003324D2"/>
    <w:rsid w:val="00333CF5"/>
    <w:rsid w:val="00340BCB"/>
    <w:rsid w:val="00347ED0"/>
    <w:rsid w:val="003712D4"/>
    <w:rsid w:val="00380D14"/>
    <w:rsid w:val="00383728"/>
    <w:rsid w:val="003A3DA6"/>
    <w:rsid w:val="003C01F1"/>
    <w:rsid w:val="003E76DB"/>
    <w:rsid w:val="003F6B5D"/>
    <w:rsid w:val="00400CEF"/>
    <w:rsid w:val="00401331"/>
    <w:rsid w:val="00435CBD"/>
    <w:rsid w:val="00435F3C"/>
    <w:rsid w:val="004449B3"/>
    <w:rsid w:val="00444FB2"/>
    <w:rsid w:val="00446A89"/>
    <w:rsid w:val="00472A5D"/>
    <w:rsid w:val="004733E8"/>
    <w:rsid w:val="00480D80"/>
    <w:rsid w:val="00483C2E"/>
    <w:rsid w:val="004906D9"/>
    <w:rsid w:val="00490FCD"/>
    <w:rsid w:val="00492392"/>
    <w:rsid w:val="0049524A"/>
    <w:rsid w:val="004B0018"/>
    <w:rsid w:val="004B2C1E"/>
    <w:rsid w:val="004B5F75"/>
    <w:rsid w:val="004B7156"/>
    <w:rsid w:val="004C5BCB"/>
    <w:rsid w:val="004C6B04"/>
    <w:rsid w:val="004D32E7"/>
    <w:rsid w:val="004D6E37"/>
    <w:rsid w:val="004D79F9"/>
    <w:rsid w:val="004E3465"/>
    <w:rsid w:val="004E3699"/>
    <w:rsid w:val="005057F6"/>
    <w:rsid w:val="005124F5"/>
    <w:rsid w:val="0051630A"/>
    <w:rsid w:val="005203EE"/>
    <w:rsid w:val="0053387A"/>
    <w:rsid w:val="0054072C"/>
    <w:rsid w:val="00544031"/>
    <w:rsid w:val="00570C2D"/>
    <w:rsid w:val="00586B1D"/>
    <w:rsid w:val="00593F4E"/>
    <w:rsid w:val="005A5649"/>
    <w:rsid w:val="005A649E"/>
    <w:rsid w:val="005B09C2"/>
    <w:rsid w:val="005B1FD2"/>
    <w:rsid w:val="005B5479"/>
    <w:rsid w:val="005C65BF"/>
    <w:rsid w:val="005D2EAC"/>
    <w:rsid w:val="005E07E1"/>
    <w:rsid w:val="005F34D8"/>
    <w:rsid w:val="006057EB"/>
    <w:rsid w:val="006242C9"/>
    <w:rsid w:val="006278A6"/>
    <w:rsid w:val="0063180B"/>
    <w:rsid w:val="006364FE"/>
    <w:rsid w:val="00636AAE"/>
    <w:rsid w:val="00637B07"/>
    <w:rsid w:val="00641734"/>
    <w:rsid w:val="00645D7B"/>
    <w:rsid w:val="006603AA"/>
    <w:rsid w:val="00665CBE"/>
    <w:rsid w:val="00666681"/>
    <w:rsid w:val="0067077B"/>
    <w:rsid w:val="006806B6"/>
    <w:rsid w:val="00686890"/>
    <w:rsid w:val="006B569A"/>
    <w:rsid w:val="006C0F00"/>
    <w:rsid w:val="006C58F4"/>
    <w:rsid w:val="006C77D3"/>
    <w:rsid w:val="006D0770"/>
    <w:rsid w:val="006D2365"/>
    <w:rsid w:val="006E046A"/>
    <w:rsid w:val="006F375E"/>
    <w:rsid w:val="006F3F07"/>
    <w:rsid w:val="006F5DE7"/>
    <w:rsid w:val="00701692"/>
    <w:rsid w:val="007046D1"/>
    <w:rsid w:val="00706595"/>
    <w:rsid w:val="0073329A"/>
    <w:rsid w:val="00733425"/>
    <w:rsid w:val="0074101D"/>
    <w:rsid w:val="00741298"/>
    <w:rsid w:val="00742AF5"/>
    <w:rsid w:val="00743DB4"/>
    <w:rsid w:val="00745CFE"/>
    <w:rsid w:val="00747EE2"/>
    <w:rsid w:val="00754013"/>
    <w:rsid w:val="00756C0F"/>
    <w:rsid w:val="007578AF"/>
    <w:rsid w:val="00757BFB"/>
    <w:rsid w:val="007612C2"/>
    <w:rsid w:val="00767327"/>
    <w:rsid w:val="00773A2C"/>
    <w:rsid w:val="0078100A"/>
    <w:rsid w:val="007813E4"/>
    <w:rsid w:val="00784535"/>
    <w:rsid w:val="007862BB"/>
    <w:rsid w:val="00795C52"/>
    <w:rsid w:val="00796157"/>
    <w:rsid w:val="007A1561"/>
    <w:rsid w:val="007A5C07"/>
    <w:rsid w:val="007A73C2"/>
    <w:rsid w:val="007B0024"/>
    <w:rsid w:val="007B5D8A"/>
    <w:rsid w:val="007C35BF"/>
    <w:rsid w:val="007C5814"/>
    <w:rsid w:val="007C6403"/>
    <w:rsid w:val="007D58E0"/>
    <w:rsid w:val="007E6ADF"/>
    <w:rsid w:val="007F7CAE"/>
    <w:rsid w:val="00804A45"/>
    <w:rsid w:val="00814120"/>
    <w:rsid w:val="00822CF4"/>
    <w:rsid w:val="00822DF5"/>
    <w:rsid w:val="0082569F"/>
    <w:rsid w:val="00826A33"/>
    <w:rsid w:val="00827214"/>
    <w:rsid w:val="00833839"/>
    <w:rsid w:val="00836D22"/>
    <w:rsid w:val="008416FD"/>
    <w:rsid w:val="008422EC"/>
    <w:rsid w:val="00844DFF"/>
    <w:rsid w:val="00854D09"/>
    <w:rsid w:val="008557AA"/>
    <w:rsid w:val="00857A70"/>
    <w:rsid w:val="00860F27"/>
    <w:rsid w:val="0086481A"/>
    <w:rsid w:val="00871C9B"/>
    <w:rsid w:val="00876B78"/>
    <w:rsid w:val="00881862"/>
    <w:rsid w:val="008828A3"/>
    <w:rsid w:val="00882C70"/>
    <w:rsid w:val="008B3D65"/>
    <w:rsid w:val="008B7C89"/>
    <w:rsid w:val="008C2A72"/>
    <w:rsid w:val="008D2F82"/>
    <w:rsid w:val="008D4B3A"/>
    <w:rsid w:val="008D510F"/>
    <w:rsid w:val="00907A2E"/>
    <w:rsid w:val="009200FF"/>
    <w:rsid w:val="009267C5"/>
    <w:rsid w:val="00926BE3"/>
    <w:rsid w:val="00932BC3"/>
    <w:rsid w:val="00933F09"/>
    <w:rsid w:val="0093717A"/>
    <w:rsid w:val="00943ED1"/>
    <w:rsid w:val="00945A8E"/>
    <w:rsid w:val="0095473E"/>
    <w:rsid w:val="00954D9B"/>
    <w:rsid w:val="00961665"/>
    <w:rsid w:val="0096337C"/>
    <w:rsid w:val="009644D9"/>
    <w:rsid w:val="0097495F"/>
    <w:rsid w:val="00982C84"/>
    <w:rsid w:val="009855B9"/>
    <w:rsid w:val="00985E0F"/>
    <w:rsid w:val="00987276"/>
    <w:rsid w:val="0099703C"/>
    <w:rsid w:val="009A3078"/>
    <w:rsid w:val="009A75A2"/>
    <w:rsid w:val="009B0EE2"/>
    <w:rsid w:val="009D2351"/>
    <w:rsid w:val="009E105E"/>
    <w:rsid w:val="009E13E8"/>
    <w:rsid w:val="009E3905"/>
    <w:rsid w:val="009E56B9"/>
    <w:rsid w:val="009E7A55"/>
    <w:rsid w:val="009F3657"/>
    <w:rsid w:val="009F523A"/>
    <w:rsid w:val="00A107B5"/>
    <w:rsid w:val="00A12E95"/>
    <w:rsid w:val="00A1477C"/>
    <w:rsid w:val="00A24C47"/>
    <w:rsid w:val="00A303A5"/>
    <w:rsid w:val="00A32A95"/>
    <w:rsid w:val="00A343DF"/>
    <w:rsid w:val="00A40C2F"/>
    <w:rsid w:val="00A41A9D"/>
    <w:rsid w:val="00A43424"/>
    <w:rsid w:val="00A44100"/>
    <w:rsid w:val="00A45D76"/>
    <w:rsid w:val="00A547D7"/>
    <w:rsid w:val="00A67630"/>
    <w:rsid w:val="00A702E9"/>
    <w:rsid w:val="00A71A63"/>
    <w:rsid w:val="00A77B6F"/>
    <w:rsid w:val="00A878D0"/>
    <w:rsid w:val="00A96BD4"/>
    <w:rsid w:val="00AB2537"/>
    <w:rsid w:val="00AB6025"/>
    <w:rsid w:val="00AC1013"/>
    <w:rsid w:val="00AC2D41"/>
    <w:rsid w:val="00AC30DB"/>
    <w:rsid w:val="00AC491C"/>
    <w:rsid w:val="00AD3CC0"/>
    <w:rsid w:val="00AE3C4A"/>
    <w:rsid w:val="00AE7BB0"/>
    <w:rsid w:val="00AF4B4C"/>
    <w:rsid w:val="00B0323E"/>
    <w:rsid w:val="00B11A40"/>
    <w:rsid w:val="00B14AA2"/>
    <w:rsid w:val="00B3209D"/>
    <w:rsid w:val="00B332EE"/>
    <w:rsid w:val="00B3644B"/>
    <w:rsid w:val="00B424FC"/>
    <w:rsid w:val="00B60833"/>
    <w:rsid w:val="00B62326"/>
    <w:rsid w:val="00B63634"/>
    <w:rsid w:val="00B65B7D"/>
    <w:rsid w:val="00B66FF9"/>
    <w:rsid w:val="00B744FC"/>
    <w:rsid w:val="00B8013E"/>
    <w:rsid w:val="00B8074C"/>
    <w:rsid w:val="00B855B3"/>
    <w:rsid w:val="00B94658"/>
    <w:rsid w:val="00B946B8"/>
    <w:rsid w:val="00BB25C8"/>
    <w:rsid w:val="00BB731E"/>
    <w:rsid w:val="00BC1981"/>
    <w:rsid w:val="00BC45B6"/>
    <w:rsid w:val="00BD0732"/>
    <w:rsid w:val="00BE73D3"/>
    <w:rsid w:val="00C056B1"/>
    <w:rsid w:val="00C0586A"/>
    <w:rsid w:val="00C12EDF"/>
    <w:rsid w:val="00C20161"/>
    <w:rsid w:val="00C440FC"/>
    <w:rsid w:val="00C47B39"/>
    <w:rsid w:val="00C5599F"/>
    <w:rsid w:val="00C664C6"/>
    <w:rsid w:val="00C66FFA"/>
    <w:rsid w:val="00C701B8"/>
    <w:rsid w:val="00C71D81"/>
    <w:rsid w:val="00C775DB"/>
    <w:rsid w:val="00C779A7"/>
    <w:rsid w:val="00C9247A"/>
    <w:rsid w:val="00CA3096"/>
    <w:rsid w:val="00CB0ACA"/>
    <w:rsid w:val="00CC4279"/>
    <w:rsid w:val="00CD3FE5"/>
    <w:rsid w:val="00CD7AC8"/>
    <w:rsid w:val="00CF06AB"/>
    <w:rsid w:val="00D122A1"/>
    <w:rsid w:val="00D30AA9"/>
    <w:rsid w:val="00D31231"/>
    <w:rsid w:val="00D35DA4"/>
    <w:rsid w:val="00D51820"/>
    <w:rsid w:val="00D53F63"/>
    <w:rsid w:val="00D623EE"/>
    <w:rsid w:val="00D63F24"/>
    <w:rsid w:val="00D725F3"/>
    <w:rsid w:val="00D769FB"/>
    <w:rsid w:val="00D83D47"/>
    <w:rsid w:val="00DA099A"/>
    <w:rsid w:val="00DA1150"/>
    <w:rsid w:val="00DA331F"/>
    <w:rsid w:val="00DA7708"/>
    <w:rsid w:val="00DC1018"/>
    <w:rsid w:val="00DC11A7"/>
    <w:rsid w:val="00DC25D8"/>
    <w:rsid w:val="00DD3A16"/>
    <w:rsid w:val="00DE76A9"/>
    <w:rsid w:val="00DF3B52"/>
    <w:rsid w:val="00E00E9E"/>
    <w:rsid w:val="00E02458"/>
    <w:rsid w:val="00E15EEF"/>
    <w:rsid w:val="00E2009A"/>
    <w:rsid w:val="00E20480"/>
    <w:rsid w:val="00E32B84"/>
    <w:rsid w:val="00E40888"/>
    <w:rsid w:val="00E411A1"/>
    <w:rsid w:val="00E43D38"/>
    <w:rsid w:val="00E51BFA"/>
    <w:rsid w:val="00E522AA"/>
    <w:rsid w:val="00E57B09"/>
    <w:rsid w:val="00E65DCE"/>
    <w:rsid w:val="00E70AA7"/>
    <w:rsid w:val="00E75949"/>
    <w:rsid w:val="00E75E15"/>
    <w:rsid w:val="00E874E1"/>
    <w:rsid w:val="00E87694"/>
    <w:rsid w:val="00EB1FDD"/>
    <w:rsid w:val="00EB5E45"/>
    <w:rsid w:val="00ED1F8F"/>
    <w:rsid w:val="00ED6B5C"/>
    <w:rsid w:val="00ED74D8"/>
    <w:rsid w:val="00EE72AA"/>
    <w:rsid w:val="00EF062E"/>
    <w:rsid w:val="00F01228"/>
    <w:rsid w:val="00F050CE"/>
    <w:rsid w:val="00F13E6C"/>
    <w:rsid w:val="00F20613"/>
    <w:rsid w:val="00F20BD4"/>
    <w:rsid w:val="00F240EE"/>
    <w:rsid w:val="00F25C00"/>
    <w:rsid w:val="00F30AAE"/>
    <w:rsid w:val="00F31E8B"/>
    <w:rsid w:val="00F34B74"/>
    <w:rsid w:val="00F36414"/>
    <w:rsid w:val="00F5018B"/>
    <w:rsid w:val="00F5559B"/>
    <w:rsid w:val="00F613D0"/>
    <w:rsid w:val="00F61976"/>
    <w:rsid w:val="00F71579"/>
    <w:rsid w:val="00F7551F"/>
    <w:rsid w:val="00FA19D2"/>
    <w:rsid w:val="00FC2020"/>
    <w:rsid w:val="00FC2E52"/>
    <w:rsid w:val="00FC4FAC"/>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3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paragraph" w:customStyle="1" w:styleId="TableParagraph">
    <w:name w:val="Table Paragraph"/>
    <w:basedOn w:val="Normal"/>
    <w:uiPriority w:val="1"/>
    <w:qFormat/>
    <w:rsid w:val="00175B7E"/>
    <w:pPr>
      <w:autoSpaceDE w:val="0"/>
      <w:autoSpaceDN w:val="0"/>
      <w:adjustRightInd w:val="0"/>
      <w:ind w:left="107"/>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189609876">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422021820">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485</Words>
  <Characters>2765</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18</cp:revision>
  <cp:lastPrinted>2018-10-11T18:11:00Z</cp:lastPrinted>
  <dcterms:created xsi:type="dcterms:W3CDTF">2024-07-20T00:11:00Z</dcterms:created>
  <dcterms:modified xsi:type="dcterms:W3CDTF">2024-07-29T23:30:00Z</dcterms:modified>
</cp:coreProperties>
</file>