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58F23057" w:rsidR="00FA19D2"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FA76B1">
        <w:rPr>
          <w:b/>
        </w:rPr>
        <w:t>6</w:t>
      </w:r>
      <w:r w:rsidR="00822CF4" w:rsidRPr="00F03684">
        <w:rPr>
          <w:b/>
        </w:rPr>
        <w:t>.</w:t>
      </w:r>
      <w:r w:rsidR="00B9112A">
        <w:rPr>
          <w:b/>
        </w:rPr>
        <w:t>5</w:t>
      </w:r>
    </w:p>
    <w:p w14:paraId="5C891D49" w14:textId="77777777" w:rsidR="002D0856" w:rsidRPr="00F03684" w:rsidRDefault="002D0856" w:rsidP="00F03684">
      <w:pPr>
        <w:rPr>
          <w:b/>
        </w:rPr>
      </w:pPr>
    </w:p>
    <w:p w14:paraId="7671A3B2" w14:textId="77777777" w:rsidR="00B9112A" w:rsidRDefault="00B9112A" w:rsidP="007D55E6">
      <w:pPr>
        <w:ind w:left="720"/>
        <w:rPr>
          <w:b/>
        </w:rPr>
      </w:pPr>
      <w:r w:rsidRPr="00B9112A">
        <w:rPr>
          <w:b/>
        </w:rPr>
        <w:t>Regarding PacifiCorp’s response to PC-23-05</w:t>
      </w:r>
    </w:p>
    <w:p w14:paraId="577B6A5E" w14:textId="77777777" w:rsidR="00B9112A" w:rsidRPr="00B9112A" w:rsidRDefault="00B9112A" w:rsidP="007D55E6">
      <w:pPr>
        <w:ind w:left="720"/>
        <w:rPr>
          <w:b/>
        </w:rPr>
      </w:pPr>
    </w:p>
    <w:p w14:paraId="00A1D748" w14:textId="5994EF67" w:rsidR="00B9112A" w:rsidRPr="00B9112A" w:rsidRDefault="00B9112A" w:rsidP="007D55E6">
      <w:pPr>
        <w:pStyle w:val="ListParagraph"/>
        <w:numPr>
          <w:ilvl w:val="0"/>
          <w:numId w:val="45"/>
        </w:numPr>
        <w:spacing w:after="0" w:line="240" w:lineRule="auto"/>
        <w:rPr>
          <w:rFonts w:ascii="Times New Roman" w:hAnsi="Times New Roman" w:cs="Times New Roman"/>
          <w:bCs/>
          <w:sz w:val="24"/>
          <w:szCs w:val="24"/>
        </w:rPr>
      </w:pPr>
      <w:r w:rsidRPr="00B9112A">
        <w:rPr>
          <w:rFonts w:ascii="Times New Roman" w:hAnsi="Times New Roman" w:cs="Times New Roman"/>
          <w:bCs/>
          <w:sz w:val="24"/>
          <w:szCs w:val="24"/>
        </w:rPr>
        <w:t>In PacifiCorp’s response to PC-23-05: Independent Review Plan Transparency</w:t>
      </w:r>
    </w:p>
    <w:p w14:paraId="549ABE6B" w14:textId="2FE092E4" w:rsidR="00B9112A" w:rsidRDefault="00B9112A" w:rsidP="002C0268">
      <w:pPr>
        <w:pStyle w:val="ListParagraph"/>
        <w:spacing w:after="0" w:line="240" w:lineRule="auto"/>
        <w:ind w:left="1080"/>
        <w:rPr>
          <w:rFonts w:ascii="Times New Roman" w:hAnsi="Times New Roman" w:cs="Times New Roman"/>
          <w:bCs/>
          <w:sz w:val="24"/>
          <w:szCs w:val="24"/>
        </w:rPr>
      </w:pPr>
      <w:r w:rsidRPr="00B9112A">
        <w:rPr>
          <w:rFonts w:ascii="Times New Roman" w:hAnsi="Times New Roman" w:cs="Times New Roman"/>
          <w:bCs/>
          <w:sz w:val="24"/>
          <w:szCs w:val="24"/>
        </w:rPr>
        <w:t>(PacifiCorp’s redlined 2025 WMP Update R1, p. 30), it states that it “has identified two internal projects” to meet the requirement of PC-23-05:</w:t>
      </w:r>
    </w:p>
    <w:p w14:paraId="68CDD66D" w14:textId="77777777" w:rsidR="00B0758D" w:rsidRDefault="00B0758D" w:rsidP="002C0268">
      <w:pPr>
        <w:pStyle w:val="ListParagraph"/>
        <w:spacing w:after="0" w:line="240" w:lineRule="auto"/>
        <w:ind w:left="1080"/>
        <w:rPr>
          <w:rFonts w:ascii="Times New Roman" w:hAnsi="Times New Roman" w:cs="Times New Roman"/>
          <w:bCs/>
          <w:sz w:val="24"/>
          <w:szCs w:val="24"/>
        </w:rPr>
      </w:pPr>
    </w:p>
    <w:p w14:paraId="4F87F23A" w14:textId="0EF81C94" w:rsidR="00B9112A" w:rsidRPr="00B9112A" w:rsidRDefault="00B9112A" w:rsidP="007D55E6">
      <w:pPr>
        <w:pStyle w:val="ListParagraph"/>
        <w:numPr>
          <w:ilvl w:val="0"/>
          <w:numId w:val="44"/>
        </w:numPr>
        <w:spacing w:after="0" w:line="240" w:lineRule="auto"/>
        <w:ind w:left="1800"/>
        <w:rPr>
          <w:rFonts w:ascii="Times New Roman" w:hAnsi="Times New Roman" w:cs="Times New Roman"/>
          <w:bCs/>
          <w:sz w:val="24"/>
          <w:szCs w:val="24"/>
        </w:rPr>
      </w:pPr>
      <w:r w:rsidRPr="00B9112A">
        <w:rPr>
          <w:rFonts w:ascii="Times New Roman" w:hAnsi="Times New Roman" w:cs="Times New Roman"/>
          <w:bCs/>
          <w:sz w:val="24"/>
          <w:szCs w:val="24"/>
        </w:rPr>
        <w:t>“Develop Policy and Procedures for Review of Internal Planning Models” and</w:t>
      </w:r>
    </w:p>
    <w:p w14:paraId="2D646F5E" w14:textId="6B458150" w:rsidR="00B9112A" w:rsidRDefault="00B9112A" w:rsidP="007D55E6">
      <w:pPr>
        <w:pStyle w:val="ListParagraph"/>
        <w:numPr>
          <w:ilvl w:val="0"/>
          <w:numId w:val="44"/>
        </w:numPr>
        <w:spacing w:after="0" w:line="240" w:lineRule="auto"/>
        <w:ind w:left="1800"/>
        <w:rPr>
          <w:rFonts w:ascii="Times New Roman" w:hAnsi="Times New Roman" w:cs="Times New Roman"/>
          <w:bCs/>
          <w:sz w:val="24"/>
          <w:szCs w:val="24"/>
        </w:rPr>
      </w:pPr>
      <w:r w:rsidRPr="00B9112A">
        <w:rPr>
          <w:rFonts w:ascii="Times New Roman" w:hAnsi="Times New Roman" w:cs="Times New Roman"/>
          <w:bCs/>
          <w:sz w:val="24"/>
          <w:szCs w:val="24"/>
        </w:rPr>
        <w:t>“Independent Review of Planning Risk Models.”</w:t>
      </w:r>
    </w:p>
    <w:p w14:paraId="08AB7E77" w14:textId="77777777" w:rsidR="00B0758D" w:rsidRDefault="00B0758D" w:rsidP="007D55E6">
      <w:pPr>
        <w:pStyle w:val="ListParagraph"/>
        <w:spacing w:after="0" w:line="240" w:lineRule="auto"/>
        <w:ind w:left="1080"/>
        <w:rPr>
          <w:rFonts w:ascii="Times New Roman" w:hAnsi="Times New Roman" w:cs="Times New Roman"/>
          <w:bCs/>
          <w:sz w:val="24"/>
          <w:szCs w:val="24"/>
        </w:rPr>
      </w:pPr>
    </w:p>
    <w:p w14:paraId="19593F32" w14:textId="238A38A3" w:rsidR="00B9112A" w:rsidRPr="00B9112A" w:rsidRDefault="00B9112A" w:rsidP="007D55E6">
      <w:pPr>
        <w:pStyle w:val="ListParagraph"/>
        <w:spacing w:after="0" w:line="240" w:lineRule="auto"/>
        <w:ind w:left="1080"/>
        <w:rPr>
          <w:rFonts w:ascii="Times New Roman" w:hAnsi="Times New Roman" w:cs="Times New Roman"/>
          <w:bCs/>
          <w:sz w:val="24"/>
          <w:szCs w:val="24"/>
        </w:rPr>
      </w:pPr>
      <w:r w:rsidRPr="00B9112A">
        <w:rPr>
          <w:rFonts w:ascii="Times New Roman" w:hAnsi="Times New Roman" w:cs="Times New Roman"/>
          <w:bCs/>
          <w:sz w:val="24"/>
          <w:szCs w:val="24"/>
        </w:rPr>
        <w:t>As PacifiCorp was required to, “present actionable tasks it will complete by its 2026-2028 Base WMP to ensure it is fully compliant with the independent review</w:t>
      </w:r>
      <w:r>
        <w:rPr>
          <w:rFonts w:ascii="Times New Roman" w:hAnsi="Times New Roman" w:cs="Times New Roman"/>
          <w:bCs/>
          <w:sz w:val="24"/>
          <w:szCs w:val="24"/>
        </w:rPr>
        <w:t xml:space="preserve"> </w:t>
      </w:r>
      <w:r w:rsidRPr="00B9112A">
        <w:rPr>
          <w:rFonts w:ascii="Times New Roman" w:hAnsi="Times New Roman" w:cs="Times New Roman"/>
          <w:bCs/>
          <w:sz w:val="24"/>
          <w:szCs w:val="24"/>
        </w:rPr>
        <w:t>requirements,” provide a timeline breaking down dates and milestones for</w:t>
      </w:r>
      <w:r>
        <w:rPr>
          <w:rFonts w:ascii="Times New Roman" w:hAnsi="Times New Roman" w:cs="Times New Roman"/>
          <w:bCs/>
          <w:sz w:val="24"/>
          <w:szCs w:val="24"/>
        </w:rPr>
        <w:t xml:space="preserve"> </w:t>
      </w:r>
      <w:r w:rsidRPr="00B9112A">
        <w:rPr>
          <w:rFonts w:ascii="Times New Roman" w:hAnsi="Times New Roman" w:cs="Times New Roman"/>
          <w:bCs/>
          <w:sz w:val="24"/>
          <w:szCs w:val="24"/>
        </w:rPr>
        <w:t>PacifiCorp’s implementation plan for these two projects to satisfy PacifiCorp’s</w:t>
      </w:r>
      <w:r>
        <w:rPr>
          <w:rFonts w:ascii="Times New Roman" w:hAnsi="Times New Roman" w:cs="Times New Roman"/>
          <w:bCs/>
          <w:sz w:val="24"/>
          <w:szCs w:val="24"/>
        </w:rPr>
        <w:t xml:space="preserve"> </w:t>
      </w:r>
      <w:r w:rsidRPr="00B9112A">
        <w:rPr>
          <w:rFonts w:ascii="Times New Roman" w:hAnsi="Times New Roman" w:cs="Times New Roman"/>
          <w:bCs/>
          <w:sz w:val="24"/>
          <w:szCs w:val="24"/>
        </w:rPr>
        <w:t>response to PC-23-05.</w:t>
      </w:r>
    </w:p>
    <w:p w14:paraId="4031C19F" w14:textId="77777777" w:rsidR="001B5046" w:rsidRPr="001B5046" w:rsidRDefault="001B5046" w:rsidP="001B5046">
      <w:pPr>
        <w:pStyle w:val="ListParagraph"/>
        <w:spacing w:after="0"/>
        <w:ind w:left="1440"/>
        <w:rPr>
          <w:rFonts w:ascii="Times New Roman" w:hAnsi="Times New Roman" w:cs="Times New Roman"/>
          <w:bCs/>
          <w:sz w:val="24"/>
          <w:szCs w:val="24"/>
        </w:rPr>
      </w:pPr>
    </w:p>
    <w:p w14:paraId="78FC70E8" w14:textId="490297E4" w:rsidR="007A5C07"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FA76B1">
        <w:rPr>
          <w:b/>
        </w:rPr>
        <w:t>6</w:t>
      </w:r>
      <w:r w:rsidR="00822CF4" w:rsidRPr="00F03684">
        <w:rPr>
          <w:b/>
        </w:rPr>
        <w:t>.</w:t>
      </w:r>
      <w:r w:rsidR="00B9112A">
        <w:rPr>
          <w:b/>
        </w:rPr>
        <w:t>5</w:t>
      </w:r>
    </w:p>
    <w:p w14:paraId="0165AC65" w14:textId="77777777" w:rsidR="00B0758D" w:rsidRPr="00F03684" w:rsidRDefault="00B0758D" w:rsidP="00F03684">
      <w:pPr>
        <w:rPr>
          <w:b/>
        </w:rPr>
      </w:pPr>
    </w:p>
    <w:p w14:paraId="7738A992" w14:textId="5E3D4B08" w:rsidR="009C47B0" w:rsidRPr="00B0758D" w:rsidRDefault="00B0758D" w:rsidP="00B0758D">
      <w:pPr>
        <w:pStyle w:val="ListParagraph"/>
        <w:numPr>
          <w:ilvl w:val="0"/>
          <w:numId w:val="47"/>
        </w:numPr>
        <w:spacing w:after="0" w:line="240" w:lineRule="auto"/>
        <w:rPr>
          <w:rFonts w:ascii="Times New Roman" w:hAnsi="Times New Roman" w:cs="Times New Roman"/>
          <w:sz w:val="24"/>
          <w:szCs w:val="24"/>
        </w:rPr>
      </w:pPr>
      <w:r w:rsidRPr="00B0758D">
        <w:rPr>
          <w:rFonts w:ascii="Times New Roman" w:hAnsi="Times New Roman" w:cs="Times New Roman"/>
          <w:sz w:val="24"/>
          <w:szCs w:val="24"/>
        </w:rPr>
        <w:t>Please refer the Company’s response to subparts (</w:t>
      </w:r>
      <w:proofErr w:type="spellStart"/>
      <w:r w:rsidR="00D4060E">
        <w:rPr>
          <w:rFonts w:ascii="Times New Roman" w:hAnsi="Times New Roman" w:cs="Times New Roman"/>
          <w:sz w:val="24"/>
          <w:szCs w:val="24"/>
        </w:rPr>
        <w:t>i</w:t>
      </w:r>
      <w:proofErr w:type="spellEnd"/>
      <w:r w:rsidRPr="00B0758D">
        <w:rPr>
          <w:rFonts w:ascii="Times New Roman" w:hAnsi="Times New Roman" w:cs="Times New Roman"/>
          <w:sz w:val="24"/>
          <w:szCs w:val="24"/>
        </w:rPr>
        <w:t>) and (ii) below:</w:t>
      </w:r>
      <w:r>
        <w:rPr>
          <w:rFonts w:ascii="Times New Roman" w:hAnsi="Times New Roman" w:cs="Times New Roman"/>
          <w:sz w:val="24"/>
          <w:szCs w:val="24"/>
        </w:rPr>
        <w:br/>
      </w:r>
    </w:p>
    <w:p w14:paraId="74ECE11A" w14:textId="641B30D6" w:rsidR="009C47B0" w:rsidRDefault="002C0268" w:rsidP="00B0758D">
      <w:pPr>
        <w:pStyle w:val="ListParagraph"/>
        <w:numPr>
          <w:ilvl w:val="0"/>
          <w:numId w:val="46"/>
        </w:numPr>
        <w:spacing w:after="0" w:line="240" w:lineRule="auto"/>
        <w:rPr>
          <w:rFonts w:ascii="Times New Roman" w:hAnsi="Times New Roman" w:cs="Times New Roman"/>
          <w:sz w:val="24"/>
          <w:szCs w:val="24"/>
        </w:rPr>
      </w:pPr>
      <w:r w:rsidRPr="002C0268">
        <w:rPr>
          <w:rFonts w:ascii="Times New Roman" w:hAnsi="Times New Roman" w:cs="Times New Roman"/>
          <w:sz w:val="24"/>
          <w:szCs w:val="24"/>
        </w:rPr>
        <w:t xml:space="preserve">PacifiCorp provides the timeline below for completing its internally developed </w:t>
      </w:r>
      <w:r>
        <w:rPr>
          <w:rFonts w:ascii="Times New Roman" w:hAnsi="Times New Roman" w:cs="Times New Roman"/>
          <w:sz w:val="24"/>
          <w:szCs w:val="24"/>
        </w:rPr>
        <w:t>Public Safety Power Shutoff (</w:t>
      </w:r>
      <w:r w:rsidRPr="002C0268">
        <w:rPr>
          <w:rFonts w:ascii="Times New Roman" w:hAnsi="Times New Roman" w:cs="Times New Roman"/>
          <w:sz w:val="24"/>
          <w:szCs w:val="24"/>
        </w:rPr>
        <w:t>PSPS</w:t>
      </w:r>
      <w:r>
        <w:rPr>
          <w:rFonts w:ascii="Times New Roman" w:hAnsi="Times New Roman" w:cs="Times New Roman"/>
          <w:sz w:val="24"/>
          <w:szCs w:val="24"/>
        </w:rPr>
        <w:t>)</w:t>
      </w:r>
      <w:r w:rsidRPr="002C0268">
        <w:rPr>
          <w:rFonts w:ascii="Times New Roman" w:hAnsi="Times New Roman" w:cs="Times New Roman"/>
          <w:sz w:val="24"/>
          <w:szCs w:val="24"/>
        </w:rPr>
        <w:t xml:space="preserve"> planning model</w:t>
      </w:r>
      <w:r w:rsidR="00C5205B">
        <w:rPr>
          <w:rFonts w:ascii="Times New Roman" w:hAnsi="Times New Roman" w:cs="Times New Roman"/>
          <w:sz w:val="24"/>
          <w:szCs w:val="24"/>
        </w:rPr>
        <w:t xml:space="preserve"> review policy</w:t>
      </w:r>
      <w:r w:rsidRPr="002C0268">
        <w:rPr>
          <w:rFonts w:ascii="Times New Roman" w:hAnsi="Times New Roman" w:cs="Times New Roman"/>
          <w:sz w:val="24"/>
          <w:szCs w:val="24"/>
        </w:rPr>
        <w:t>:</w:t>
      </w:r>
    </w:p>
    <w:p w14:paraId="21C86D47" w14:textId="77777777" w:rsidR="00B0758D" w:rsidRPr="002C0268" w:rsidRDefault="00B0758D" w:rsidP="00B0758D">
      <w:pPr>
        <w:pStyle w:val="ListParagraph"/>
        <w:numPr>
          <w:ilvl w:val="0"/>
          <w:numId w:val="46"/>
        </w:numPr>
        <w:spacing w:after="0" w:line="240" w:lineRule="auto"/>
        <w:rPr>
          <w:rFonts w:ascii="Times New Roman" w:hAnsi="Times New Roman" w:cs="Times New Roman"/>
          <w:sz w:val="24"/>
          <w:szCs w:val="24"/>
        </w:rPr>
      </w:pPr>
    </w:p>
    <w:tbl>
      <w:tblPr>
        <w:tblStyle w:val="TableGrid"/>
        <w:tblW w:w="0" w:type="auto"/>
        <w:tblInd w:w="1620" w:type="dxa"/>
        <w:tblLook w:val="04A0" w:firstRow="1" w:lastRow="0" w:firstColumn="1" w:lastColumn="0" w:noHBand="0" w:noVBand="1"/>
      </w:tblPr>
      <w:tblGrid>
        <w:gridCol w:w="4765"/>
        <w:gridCol w:w="2520"/>
      </w:tblGrid>
      <w:tr w:rsidR="002C0268" w:rsidRPr="002C0268" w14:paraId="2C3EF0B4" w14:textId="77777777" w:rsidTr="00B0758D">
        <w:tc>
          <w:tcPr>
            <w:tcW w:w="4765" w:type="dxa"/>
            <w:shd w:val="clear" w:color="auto" w:fill="D9D9D9" w:themeFill="background1" w:themeFillShade="D9"/>
          </w:tcPr>
          <w:p w14:paraId="2483777E" w14:textId="77777777" w:rsidR="002C0268" w:rsidRPr="002C0268" w:rsidRDefault="002C0268" w:rsidP="00435391">
            <w:pPr>
              <w:pStyle w:val="BodyText"/>
              <w:rPr>
                <w:b/>
                <w:bCs/>
              </w:rPr>
            </w:pPr>
            <w:r w:rsidRPr="002C0268">
              <w:rPr>
                <w:b/>
                <w:bCs/>
              </w:rPr>
              <w:t>Milestone</w:t>
            </w:r>
          </w:p>
        </w:tc>
        <w:tc>
          <w:tcPr>
            <w:tcW w:w="2520" w:type="dxa"/>
            <w:shd w:val="clear" w:color="auto" w:fill="D9D9D9" w:themeFill="background1" w:themeFillShade="D9"/>
          </w:tcPr>
          <w:p w14:paraId="628BE78D" w14:textId="77777777" w:rsidR="002C0268" w:rsidRPr="002C0268" w:rsidRDefault="002C0268" w:rsidP="00435391">
            <w:pPr>
              <w:pStyle w:val="BodyText"/>
              <w:rPr>
                <w:b/>
                <w:bCs/>
              </w:rPr>
            </w:pPr>
            <w:r w:rsidRPr="002C0268">
              <w:rPr>
                <w:b/>
                <w:bCs/>
              </w:rPr>
              <w:t>Completed by End of:</w:t>
            </w:r>
          </w:p>
        </w:tc>
      </w:tr>
      <w:tr w:rsidR="002C0268" w:rsidRPr="002C0268" w14:paraId="0AA8B6B6" w14:textId="77777777" w:rsidTr="00B0758D">
        <w:tc>
          <w:tcPr>
            <w:tcW w:w="4765" w:type="dxa"/>
          </w:tcPr>
          <w:p w14:paraId="05A4F320" w14:textId="77777777" w:rsidR="002C0268" w:rsidRPr="002C0268" w:rsidRDefault="002C0268" w:rsidP="00435391">
            <w:pPr>
              <w:pStyle w:val="BodyText"/>
            </w:pPr>
            <w:r w:rsidRPr="002C0268">
              <w:t>Project Scoping and Requirements Gathering</w:t>
            </w:r>
          </w:p>
        </w:tc>
        <w:tc>
          <w:tcPr>
            <w:tcW w:w="2520" w:type="dxa"/>
          </w:tcPr>
          <w:p w14:paraId="240FBBEA" w14:textId="77777777" w:rsidR="002C0268" w:rsidRPr="002C0268" w:rsidRDefault="002C0268" w:rsidP="00435391">
            <w:pPr>
              <w:pStyle w:val="BodyText"/>
            </w:pPr>
            <w:r w:rsidRPr="002C0268">
              <w:t>Q1 2025</w:t>
            </w:r>
          </w:p>
        </w:tc>
      </w:tr>
      <w:tr w:rsidR="002C0268" w:rsidRPr="002C0268" w14:paraId="24B715BE" w14:textId="77777777" w:rsidTr="00B0758D">
        <w:tc>
          <w:tcPr>
            <w:tcW w:w="4765" w:type="dxa"/>
          </w:tcPr>
          <w:p w14:paraId="05760829" w14:textId="77777777" w:rsidR="002C0268" w:rsidRPr="002C0268" w:rsidRDefault="002C0268" w:rsidP="00435391">
            <w:pPr>
              <w:pStyle w:val="BodyText"/>
            </w:pPr>
            <w:r w:rsidRPr="002C0268">
              <w:t>Process and Technology Development</w:t>
            </w:r>
          </w:p>
        </w:tc>
        <w:tc>
          <w:tcPr>
            <w:tcW w:w="2520" w:type="dxa"/>
          </w:tcPr>
          <w:p w14:paraId="1C23CE89" w14:textId="77777777" w:rsidR="002C0268" w:rsidRPr="002C0268" w:rsidRDefault="002C0268" w:rsidP="00435391">
            <w:pPr>
              <w:pStyle w:val="BodyText"/>
            </w:pPr>
            <w:r w:rsidRPr="002C0268">
              <w:t>Q3 2025</w:t>
            </w:r>
          </w:p>
        </w:tc>
      </w:tr>
      <w:tr w:rsidR="002C0268" w:rsidRPr="002C0268" w14:paraId="04099600" w14:textId="77777777" w:rsidTr="00B0758D">
        <w:tc>
          <w:tcPr>
            <w:tcW w:w="4765" w:type="dxa"/>
          </w:tcPr>
          <w:p w14:paraId="1EC9E7CD" w14:textId="77777777" w:rsidR="002C0268" w:rsidRPr="002C0268" w:rsidRDefault="002C0268" w:rsidP="00435391">
            <w:pPr>
              <w:pStyle w:val="BodyText"/>
            </w:pPr>
            <w:r w:rsidRPr="002C0268">
              <w:t>Process and Technology Testing</w:t>
            </w:r>
          </w:p>
        </w:tc>
        <w:tc>
          <w:tcPr>
            <w:tcW w:w="2520" w:type="dxa"/>
          </w:tcPr>
          <w:p w14:paraId="42CE6BC7" w14:textId="77777777" w:rsidR="002C0268" w:rsidRPr="002C0268" w:rsidRDefault="002C0268" w:rsidP="00435391">
            <w:pPr>
              <w:pStyle w:val="BodyText"/>
            </w:pPr>
            <w:r w:rsidRPr="002C0268">
              <w:t>Q4 2025</w:t>
            </w:r>
          </w:p>
        </w:tc>
      </w:tr>
      <w:tr w:rsidR="002C0268" w:rsidRPr="002C0268" w14:paraId="024EF0D2" w14:textId="77777777" w:rsidTr="00B0758D">
        <w:tc>
          <w:tcPr>
            <w:tcW w:w="4765" w:type="dxa"/>
          </w:tcPr>
          <w:p w14:paraId="7ECC3645" w14:textId="77777777" w:rsidR="002C0268" w:rsidRPr="002C0268" w:rsidRDefault="002C0268" w:rsidP="00435391">
            <w:pPr>
              <w:pStyle w:val="BodyText"/>
            </w:pPr>
            <w:r w:rsidRPr="002C0268">
              <w:t>Publish Process Documentation</w:t>
            </w:r>
          </w:p>
        </w:tc>
        <w:tc>
          <w:tcPr>
            <w:tcW w:w="2520" w:type="dxa"/>
          </w:tcPr>
          <w:p w14:paraId="7B4ADEB6" w14:textId="77777777" w:rsidR="002C0268" w:rsidRPr="002C0268" w:rsidRDefault="002C0268" w:rsidP="00435391">
            <w:pPr>
              <w:pStyle w:val="BodyText"/>
            </w:pPr>
            <w:r w:rsidRPr="002C0268">
              <w:t>Q4 2024</w:t>
            </w:r>
          </w:p>
        </w:tc>
      </w:tr>
      <w:tr w:rsidR="002C0268" w:rsidRPr="002C0268" w14:paraId="5E173643" w14:textId="77777777" w:rsidTr="00B0758D">
        <w:tc>
          <w:tcPr>
            <w:tcW w:w="4765" w:type="dxa"/>
          </w:tcPr>
          <w:p w14:paraId="29794FC7" w14:textId="77777777" w:rsidR="002C0268" w:rsidRPr="002C0268" w:rsidRDefault="002C0268" w:rsidP="00435391">
            <w:pPr>
              <w:pStyle w:val="BodyText"/>
            </w:pPr>
            <w:r w:rsidRPr="002C0268">
              <w:t>Technology Training</w:t>
            </w:r>
          </w:p>
        </w:tc>
        <w:tc>
          <w:tcPr>
            <w:tcW w:w="2520" w:type="dxa"/>
          </w:tcPr>
          <w:p w14:paraId="2DF65492" w14:textId="77777777" w:rsidR="002C0268" w:rsidRPr="002C0268" w:rsidRDefault="002C0268" w:rsidP="00435391">
            <w:pPr>
              <w:pStyle w:val="BodyText"/>
            </w:pPr>
            <w:r w:rsidRPr="002C0268">
              <w:t>Q4 2025</w:t>
            </w:r>
          </w:p>
        </w:tc>
      </w:tr>
      <w:tr w:rsidR="002C0268" w:rsidRPr="002C0268" w14:paraId="39EC36AD" w14:textId="77777777" w:rsidTr="00B0758D">
        <w:tc>
          <w:tcPr>
            <w:tcW w:w="4765" w:type="dxa"/>
          </w:tcPr>
          <w:p w14:paraId="3B897E48" w14:textId="77777777" w:rsidR="002C0268" w:rsidRPr="002C0268" w:rsidRDefault="002C0268" w:rsidP="00435391">
            <w:pPr>
              <w:pStyle w:val="BodyText"/>
            </w:pPr>
            <w:r w:rsidRPr="002C0268">
              <w:t>Technology Deployment</w:t>
            </w:r>
          </w:p>
        </w:tc>
        <w:tc>
          <w:tcPr>
            <w:tcW w:w="2520" w:type="dxa"/>
          </w:tcPr>
          <w:p w14:paraId="24BE771C" w14:textId="77777777" w:rsidR="002C0268" w:rsidRPr="002C0268" w:rsidRDefault="002C0268" w:rsidP="00435391">
            <w:pPr>
              <w:pStyle w:val="BodyText"/>
            </w:pPr>
            <w:r w:rsidRPr="002C0268">
              <w:t>Q1 2025</w:t>
            </w:r>
          </w:p>
        </w:tc>
      </w:tr>
      <w:tr w:rsidR="002C0268" w:rsidRPr="002C0268" w14:paraId="6BC1AA74" w14:textId="77777777" w:rsidTr="00B0758D">
        <w:tc>
          <w:tcPr>
            <w:tcW w:w="4765" w:type="dxa"/>
          </w:tcPr>
          <w:p w14:paraId="35FA6BF5" w14:textId="77777777" w:rsidR="002C0268" w:rsidRPr="002C0268" w:rsidRDefault="002C0268" w:rsidP="00435391">
            <w:pPr>
              <w:pStyle w:val="BodyText"/>
            </w:pPr>
            <w:r w:rsidRPr="002C0268">
              <w:t>Review Process Implemented</w:t>
            </w:r>
          </w:p>
        </w:tc>
        <w:tc>
          <w:tcPr>
            <w:tcW w:w="2520" w:type="dxa"/>
          </w:tcPr>
          <w:p w14:paraId="630C5910" w14:textId="77777777" w:rsidR="002C0268" w:rsidRPr="002C0268" w:rsidRDefault="002C0268" w:rsidP="00435391">
            <w:pPr>
              <w:pStyle w:val="BodyText"/>
            </w:pPr>
            <w:r w:rsidRPr="002C0268">
              <w:t>Q1 2025</w:t>
            </w:r>
          </w:p>
        </w:tc>
      </w:tr>
    </w:tbl>
    <w:p w14:paraId="7B68C3A6" w14:textId="77777777" w:rsidR="002C0268" w:rsidRPr="002C0268" w:rsidRDefault="002C0268" w:rsidP="002C0268"/>
    <w:p w14:paraId="065275F2" w14:textId="45AF915F" w:rsidR="002C0268" w:rsidRDefault="002C0268" w:rsidP="00B0758D">
      <w:pPr>
        <w:pStyle w:val="ListParagraph"/>
        <w:numPr>
          <w:ilvl w:val="0"/>
          <w:numId w:val="46"/>
        </w:numPr>
        <w:spacing w:after="0" w:line="240" w:lineRule="auto"/>
        <w:rPr>
          <w:rFonts w:ascii="Times New Roman" w:hAnsi="Times New Roman" w:cs="Times New Roman"/>
          <w:sz w:val="24"/>
          <w:szCs w:val="24"/>
        </w:rPr>
      </w:pPr>
      <w:r w:rsidRPr="002C0268">
        <w:rPr>
          <w:rFonts w:ascii="Times New Roman" w:hAnsi="Times New Roman" w:cs="Times New Roman"/>
          <w:sz w:val="24"/>
          <w:szCs w:val="24"/>
        </w:rPr>
        <w:t>Independent review of planning models for ignition risk was completed in September 2024. PacifiCorp provides the timeline below for completion of independent review of its planning model for PSPS risk:</w:t>
      </w:r>
    </w:p>
    <w:p w14:paraId="146F69FD" w14:textId="77777777" w:rsidR="00B0758D" w:rsidRPr="002C0268" w:rsidRDefault="00B0758D" w:rsidP="00B0758D">
      <w:pPr>
        <w:pStyle w:val="ListParagraph"/>
        <w:numPr>
          <w:ilvl w:val="0"/>
          <w:numId w:val="46"/>
        </w:numPr>
        <w:spacing w:after="0" w:line="240" w:lineRule="auto"/>
        <w:rPr>
          <w:rFonts w:ascii="Times New Roman" w:hAnsi="Times New Roman" w:cs="Times New Roman"/>
          <w:sz w:val="24"/>
          <w:szCs w:val="24"/>
        </w:rPr>
      </w:pPr>
    </w:p>
    <w:tbl>
      <w:tblPr>
        <w:tblStyle w:val="TableGrid"/>
        <w:tblW w:w="0" w:type="auto"/>
        <w:tblInd w:w="1620" w:type="dxa"/>
        <w:tblLook w:val="04A0" w:firstRow="1" w:lastRow="0" w:firstColumn="1" w:lastColumn="0" w:noHBand="0" w:noVBand="1"/>
      </w:tblPr>
      <w:tblGrid>
        <w:gridCol w:w="4703"/>
        <w:gridCol w:w="2626"/>
      </w:tblGrid>
      <w:tr w:rsidR="002C0268" w:rsidRPr="002C0268" w14:paraId="101D3A0D" w14:textId="77777777" w:rsidTr="002D0856">
        <w:trPr>
          <w:trHeight w:val="274"/>
          <w:tblHeader/>
        </w:trPr>
        <w:tc>
          <w:tcPr>
            <w:tcW w:w="4703" w:type="dxa"/>
            <w:shd w:val="clear" w:color="auto" w:fill="D9D9D9" w:themeFill="background1" w:themeFillShade="D9"/>
          </w:tcPr>
          <w:p w14:paraId="138498CE" w14:textId="77777777" w:rsidR="002C0268" w:rsidRPr="002C0268" w:rsidRDefault="002C0268" w:rsidP="00435391">
            <w:pPr>
              <w:pStyle w:val="BodyText"/>
              <w:rPr>
                <w:b/>
                <w:bCs/>
              </w:rPr>
            </w:pPr>
            <w:r w:rsidRPr="002C0268">
              <w:rPr>
                <w:b/>
                <w:bCs/>
              </w:rPr>
              <w:t>Milestone</w:t>
            </w:r>
          </w:p>
        </w:tc>
        <w:tc>
          <w:tcPr>
            <w:tcW w:w="2626" w:type="dxa"/>
            <w:shd w:val="clear" w:color="auto" w:fill="D9D9D9" w:themeFill="background1" w:themeFillShade="D9"/>
          </w:tcPr>
          <w:p w14:paraId="60E6C4EA" w14:textId="77777777" w:rsidR="002C0268" w:rsidRPr="002C0268" w:rsidRDefault="002C0268" w:rsidP="00435391">
            <w:pPr>
              <w:pStyle w:val="BodyText"/>
              <w:rPr>
                <w:b/>
                <w:bCs/>
              </w:rPr>
            </w:pPr>
            <w:r w:rsidRPr="002C0268">
              <w:rPr>
                <w:b/>
                <w:bCs/>
              </w:rPr>
              <w:t>Completed by End of:</w:t>
            </w:r>
          </w:p>
        </w:tc>
      </w:tr>
      <w:tr w:rsidR="002C0268" w:rsidRPr="002C0268" w14:paraId="2CE91772" w14:textId="77777777" w:rsidTr="002D0856">
        <w:trPr>
          <w:trHeight w:val="274"/>
        </w:trPr>
        <w:tc>
          <w:tcPr>
            <w:tcW w:w="4703" w:type="dxa"/>
          </w:tcPr>
          <w:p w14:paraId="4C48AD8F" w14:textId="77777777" w:rsidR="002C0268" w:rsidRPr="002C0268" w:rsidRDefault="002C0268" w:rsidP="00435391">
            <w:pPr>
              <w:pStyle w:val="BodyText"/>
            </w:pPr>
            <w:r w:rsidRPr="002C0268">
              <w:t>Project Scoping and Requirements Gathering</w:t>
            </w:r>
          </w:p>
        </w:tc>
        <w:tc>
          <w:tcPr>
            <w:tcW w:w="2626" w:type="dxa"/>
          </w:tcPr>
          <w:p w14:paraId="1B372091" w14:textId="77777777" w:rsidR="002C0268" w:rsidRPr="002C0268" w:rsidRDefault="002C0268" w:rsidP="00435391">
            <w:pPr>
              <w:pStyle w:val="BodyText"/>
            </w:pPr>
            <w:r w:rsidRPr="002C0268">
              <w:t>Q2 2025</w:t>
            </w:r>
          </w:p>
        </w:tc>
      </w:tr>
      <w:tr w:rsidR="002C0268" w:rsidRPr="002C0268" w14:paraId="60E4D381" w14:textId="77777777" w:rsidTr="002D0856">
        <w:trPr>
          <w:trHeight w:val="274"/>
        </w:trPr>
        <w:tc>
          <w:tcPr>
            <w:tcW w:w="4703" w:type="dxa"/>
          </w:tcPr>
          <w:p w14:paraId="05352FCF" w14:textId="77777777" w:rsidR="002C0268" w:rsidRPr="002C0268" w:rsidRDefault="002C0268" w:rsidP="00435391">
            <w:pPr>
              <w:pStyle w:val="BodyText"/>
            </w:pPr>
            <w:r w:rsidRPr="002C0268">
              <w:t>Open RFP for Bidding</w:t>
            </w:r>
          </w:p>
        </w:tc>
        <w:tc>
          <w:tcPr>
            <w:tcW w:w="2626" w:type="dxa"/>
          </w:tcPr>
          <w:p w14:paraId="6477BEEF" w14:textId="77777777" w:rsidR="002C0268" w:rsidRPr="002C0268" w:rsidRDefault="002C0268" w:rsidP="00435391">
            <w:pPr>
              <w:pStyle w:val="BodyText"/>
            </w:pPr>
            <w:r w:rsidRPr="002C0268">
              <w:t>Q2 2025</w:t>
            </w:r>
          </w:p>
        </w:tc>
      </w:tr>
      <w:tr w:rsidR="002C0268" w:rsidRPr="002C0268" w14:paraId="76652D34" w14:textId="77777777" w:rsidTr="002D0856">
        <w:trPr>
          <w:trHeight w:val="274"/>
        </w:trPr>
        <w:tc>
          <w:tcPr>
            <w:tcW w:w="4703" w:type="dxa"/>
          </w:tcPr>
          <w:p w14:paraId="4592DF4B" w14:textId="77777777" w:rsidR="002C0268" w:rsidRPr="002C0268" w:rsidRDefault="002C0268" w:rsidP="00435391">
            <w:pPr>
              <w:pStyle w:val="BodyText"/>
            </w:pPr>
            <w:r w:rsidRPr="002C0268">
              <w:t>Select Independent Reviewer</w:t>
            </w:r>
          </w:p>
        </w:tc>
        <w:tc>
          <w:tcPr>
            <w:tcW w:w="2626" w:type="dxa"/>
          </w:tcPr>
          <w:p w14:paraId="2E8D1B83" w14:textId="77777777" w:rsidR="002C0268" w:rsidRPr="002C0268" w:rsidRDefault="002C0268" w:rsidP="00435391">
            <w:pPr>
              <w:pStyle w:val="BodyText"/>
            </w:pPr>
            <w:r w:rsidRPr="002C0268">
              <w:t>Q2 2025</w:t>
            </w:r>
          </w:p>
        </w:tc>
      </w:tr>
      <w:tr w:rsidR="002C0268" w:rsidRPr="002C0268" w14:paraId="42B570AB" w14:textId="77777777" w:rsidTr="002D0856">
        <w:trPr>
          <w:trHeight w:val="274"/>
        </w:trPr>
        <w:tc>
          <w:tcPr>
            <w:tcW w:w="4703" w:type="dxa"/>
          </w:tcPr>
          <w:p w14:paraId="22842212" w14:textId="77777777" w:rsidR="002C0268" w:rsidRPr="002C0268" w:rsidRDefault="002C0268" w:rsidP="00435391">
            <w:pPr>
              <w:pStyle w:val="BodyText"/>
            </w:pPr>
            <w:r w:rsidRPr="002C0268">
              <w:t>Independent Review of PSPS risk model</w:t>
            </w:r>
          </w:p>
        </w:tc>
        <w:tc>
          <w:tcPr>
            <w:tcW w:w="2626" w:type="dxa"/>
          </w:tcPr>
          <w:p w14:paraId="421BE1E2" w14:textId="77777777" w:rsidR="002C0268" w:rsidRPr="002C0268" w:rsidRDefault="002C0268" w:rsidP="00435391">
            <w:pPr>
              <w:pStyle w:val="BodyText"/>
            </w:pPr>
            <w:r w:rsidRPr="002C0268">
              <w:t>Q3 2025</w:t>
            </w:r>
          </w:p>
        </w:tc>
      </w:tr>
      <w:tr w:rsidR="002C0268" w:rsidRPr="002C0268" w14:paraId="59B9F0C0" w14:textId="77777777" w:rsidTr="002D0856">
        <w:trPr>
          <w:trHeight w:val="274"/>
        </w:trPr>
        <w:tc>
          <w:tcPr>
            <w:tcW w:w="4703" w:type="dxa"/>
          </w:tcPr>
          <w:p w14:paraId="45B03A98" w14:textId="77777777" w:rsidR="002C0268" w:rsidRPr="002C0268" w:rsidRDefault="002C0268" w:rsidP="00435391">
            <w:pPr>
              <w:pStyle w:val="BodyText"/>
            </w:pPr>
            <w:r w:rsidRPr="002C0268">
              <w:t>Final Report Acceptance</w:t>
            </w:r>
          </w:p>
        </w:tc>
        <w:tc>
          <w:tcPr>
            <w:tcW w:w="2626" w:type="dxa"/>
          </w:tcPr>
          <w:p w14:paraId="14C4B755" w14:textId="77777777" w:rsidR="002C0268" w:rsidRPr="002C0268" w:rsidRDefault="002C0268" w:rsidP="00435391">
            <w:pPr>
              <w:pStyle w:val="BodyText"/>
            </w:pPr>
            <w:r w:rsidRPr="002C0268">
              <w:t>Q4 2025</w:t>
            </w:r>
          </w:p>
        </w:tc>
      </w:tr>
    </w:tbl>
    <w:p w14:paraId="4A13D0B3" w14:textId="78FEF4AB" w:rsidR="001B5046" w:rsidRPr="001B5046" w:rsidRDefault="001B5046" w:rsidP="002D0856"/>
    <w:sectPr w:rsidR="001B5046" w:rsidRPr="001B50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DEF605E" w:rsidR="007A5C07" w:rsidRPr="005124F5" w:rsidRDefault="00FA76B1" w:rsidP="007A5C07">
    <w:r>
      <w:t>October 7</w:t>
    </w:r>
    <w:r w:rsidR="00BE73D3">
      <w:t>, 202</w:t>
    </w:r>
    <w:r w:rsidR="00446A89">
      <w:t>4</w:t>
    </w:r>
  </w:p>
  <w:p w14:paraId="2452B3BF" w14:textId="70E374EF" w:rsidR="00AB6025" w:rsidRDefault="00446A89" w:rsidP="00AB6025">
    <w:pPr>
      <w:rPr>
        <w:rFonts w:eastAsiaTheme="minorHAnsi"/>
        <w:bCs/>
        <w:color w:val="000000"/>
      </w:rPr>
    </w:pPr>
    <w:r w:rsidRPr="00446A89">
      <w:rPr>
        <w:rFonts w:eastAsiaTheme="minorHAnsi"/>
        <w:bCs/>
        <w:color w:val="000000"/>
      </w:rPr>
      <w:t>OEIS-P-WMP_2024-PC-0</w:t>
    </w:r>
    <w:r w:rsidR="00FA76B1">
      <w:rPr>
        <w:rFonts w:eastAsiaTheme="minorHAnsi"/>
        <w:bCs/>
        <w:color w:val="000000"/>
      </w:rPr>
      <w:t>6</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131EC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C4AAF"/>
    <w:multiLevelType w:val="hybridMultilevel"/>
    <w:tmpl w:val="13CAA376"/>
    <w:lvl w:ilvl="0" w:tplc="016AB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5A555F"/>
    <w:multiLevelType w:val="hybridMultilevel"/>
    <w:tmpl w:val="4B0EB536"/>
    <w:lvl w:ilvl="0" w:tplc="66AC63C6">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A3919"/>
    <w:multiLevelType w:val="hybridMultilevel"/>
    <w:tmpl w:val="1D06B3F0"/>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8"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037155E"/>
    <w:multiLevelType w:val="hybridMultilevel"/>
    <w:tmpl w:val="FD881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5C77FE"/>
    <w:multiLevelType w:val="hybridMultilevel"/>
    <w:tmpl w:val="523C396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2E1D47"/>
    <w:multiLevelType w:val="hybridMultilevel"/>
    <w:tmpl w:val="4AE8F64C"/>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934FFF"/>
    <w:multiLevelType w:val="hybridMultilevel"/>
    <w:tmpl w:val="7A6E3550"/>
    <w:lvl w:ilvl="0" w:tplc="8DB2676C">
      <w:start w:val="1"/>
      <w:numFmt w:val="lowerLetter"/>
      <w:lvlText w:val="(%1)"/>
      <w:lvlJc w:val="left"/>
      <w:pPr>
        <w:ind w:left="1080" w:hanging="360"/>
      </w:pPr>
      <w:rPr>
        <w:rFont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6"/>
  </w:num>
  <w:num w:numId="5" w16cid:durableId="390352810">
    <w:abstractNumId w:val="3"/>
  </w:num>
  <w:num w:numId="6" w16cid:durableId="845822299">
    <w:abstractNumId w:val="14"/>
  </w:num>
  <w:num w:numId="7" w16cid:durableId="440540217">
    <w:abstractNumId w:val="34"/>
  </w:num>
  <w:num w:numId="8" w16cid:durableId="1585647602">
    <w:abstractNumId w:val="32"/>
  </w:num>
  <w:num w:numId="9" w16cid:durableId="160856750">
    <w:abstractNumId w:val="17"/>
  </w:num>
  <w:num w:numId="10" w16cid:durableId="81152084">
    <w:abstractNumId w:val="25"/>
  </w:num>
  <w:num w:numId="11" w16cid:durableId="787621791">
    <w:abstractNumId w:val="21"/>
  </w:num>
  <w:num w:numId="12" w16cid:durableId="1858734263">
    <w:abstractNumId w:val="29"/>
  </w:num>
  <w:num w:numId="13" w16cid:durableId="1607804467">
    <w:abstractNumId w:val="44"/>
  </w:num>
  <w:num w:numId="14" w16cid:durableId="2057853309">
    <w:abstractNumId w:val="26"/>
  </w:num>
  <w:num w:numId="15" w16cid:durableId="1136532133">
    <w:abstractNumId w:val="35"/>
  </w:num>
  <w:num w:numId="16" w16cid:durableId="1329208315">
    <w:abstractNumId w:val="15"/>
  </w:num>
  <w:num w:numId="17" w16cid:durableId="437141105">
    <w:abstractNumId w:val="16"/>
  </w:num>
  <w:num w:numId="18" w16cid:durableId="1484926814">
    <w:abstractNumId w:val="20"/>
  </w:num>
  <w:num w:numId="19" w16cid:durableId="1616281241">
    <w:abstractNumId w:val="7"/>
  </w:num>
  <w:num w:numId="20" w16cid:durableId="1954749110">
    <w:abstractNumId w:val="41"/>
  </w:num>
  <w:num w:numId="21" w16cid:durableId="1141263984">
    <w:abstractNumId w:val="39"/>
  </w:num>
  <w:num w:numId="22" w16cid:durableId="1765495506">
    <w:abstractNumId w:val="13"/>
  </w:num>
  <w:num w:numId="23" w16cid:durableId="1882129980">
    <w:abstractNumId w:val="33"/>
  </w:num>
  <w:num w:numId="24" w16cid:durableId="614942275">
    <w:abstractNumId w:val="18"/>
  </w:num>
  <w:num w:numId="25" w16cid:durableId="445395250">
    <w:abstractNumId w:val="31"/>
  </w:num>
  <w:num w:numId="26" w16cid:durableId="1099985146">
    <w:abstractNumId w:val="27"/>
  </w:num>
  <w:num w:numId="27" w16cid:durableId="312415335">
    <w:abstractNumId w:val="42"/>
  </w:num>
  <w:num w:numId="28" w16cid:durableId="659769303">
    <w:abstractNumId w:val="23"/>
  </w:num>
  <w:num w:numId="29" w16cid:durableId="29108426">
    <w:abstractNumId w:val="8"/>
  </w:num>
  <w:num w:numId="30" w16cid:durableId="648485740">
    <w:abstractNumId w:val="24"/>
  </w:num>
  <w:num w:numId="31" w16cid:durableId="70397969">
    <w:abstractNumId w:val="4"/>
  </w:num>
  <w:num w:numId="32" w16cid:durableId="372925659">
    <w:abstractNumId w:val="37"/>
  </w:num>
  <w:num w:numId="33" w16cid:durableId="1445731492">
    <w:abstractNumId w:val="2"/>
  </w:num>
  <w:num w:numId="34" w16cid:durableId="1330910777">
    <w:abstractNumId w:val="6"/>
  </w:num>
  <w:num w:numId="35" w16cid:durableId="762805487">
    <w:abstractNumId w:val="38"/>
  </w:num>
  <w:num w:numId="36" w16cid:durableId="446968543">
    <w:abstractNumId w:val="11"/>
  </w:num>
  <w:num w:numId="37" w16cid:durableId="299961395">
    <w:abstractNumId w:val="19"/>
  </w:num>
  <w:num w:numId="38" w16cid:durableId="1192109937">
    <w:abstractNumId w:val="30"/>
  </w:num>
  <w:num w:numId="39" w16cid:durableId="1868522772">
    <w:abstractNumId w:val="1"/>
  </w:num>
  <w:num w:numId="40" w16cid:durableId="1216307851">
    <w:abstractNumId w:val="0"/>
  </w:num>
  <w:num w:numId="41" w16cid:durableId="374887560">
    <w:abstractNumId w:val="36"/>
  </w:num>
  <w:num w:numId="42" w16cid:durableId="1650599810">
    <w:abstractNumId w:val="28"/>
  </w:num>
  <w:num w:numId="43" w16cid:durableId="1347949772">
    <w:abstractNumId w:val="9"/>
  </w:num>
  <w:num w:numId="44" w16cid:durableId="1438327000">
    <w:abstractNumId w:val="43"/>
  </w:num>
  <w:num w:numId="45" w16cid:durableId="569851641">
    <w:abstractNumId w:val="12"/>
  </w:num>
  <w:num w:numId="46" w16cid:durableId="714739322">
    <w:abstractNumId w:val="10"/>
  </w:num>
  <w:num w:numId="47" w16cid:durableId="1911768244">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hypOtizu5RDumql+I2AedJgefqBwJSms9EVPiBJD/JrxEt1rRdcexjhFMuW5mhWFpUumVJi0wmMqcd9LID32KA==" w:salt="1cOapOChaEbYqBtHTyYByQ=="/>
  <w:defaultTabStop w:val="720"/>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B5046"/>
    <w:rsid w:val="001C2C53"/>
    <w:rsid w:val="001C34A0"/>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C0268"/>
    <w:rsid w:val="002C55F1"/>
    <w:rsid w:val="002D0856"/>
    <w:rsid w:val="002D1578"/>
    <w:rsid w:val="002D232A"/>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5E6"/>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1BC"/>
    <w:rsid w:val="00881862"/>
    <w:rsid w:val="008828A3"/>
    <w:rsid w:val="00882C70"/>
    <w:rsid w:val="00892F1C"/>
    <w:rsid w:val="00897C43"/>
    <w:rsid w:val="008B3D65"/>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3AF4"/>
    <w:rsid w:val="009855B9"/>
    <w:rsid w:val="00985E0F"/>
    <w:rsid w:val="00987276"/>
    <w:rsid w:val="0099703C"/>
    <w:rsid w:val="009A3078"/>
    <w:rsid w:val="009A4F71"/>
    <w:rsid w:val="009A75A2"/>
    <w:rsid w:val="009B0EE2"/>
    <w:rsid w:val="009B4C0A"/>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0758D"/>
    <w:rsid w:val="00B11A40"/>
    <w:rsid w:val="00B148D2"/>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2A"/>
    <w:rsid w:val="00B911F5"/>
    <w:rsid w:val="00B94658"/>
    <w:rsid w:val="00B946B8"/>
    <w:rsid w:val="00BB25C8"/>
    <w:rsid w:val="00BB731E"/>
    <w:rsid w:val="00BC1981"/>
    <w:rsid w:val="00BC45B6"/>
    <w:rsid w:val="00BC6142"/>
    <w:rsid w:val="00BD0732"/>
    <w:rsid w:val="00BD740A"/>
    <w:rsid w:val="00BE73D3"/>
    <w:rsid w:val="00C0196D"/>
    <w:rsid w:val="00C0197B"/>
    <w:rsid w:val="00C056B1"/>
    <w:rsid w:val="00C0586A"/>
    <w:rsid w:val="00C06BCC"/>
    <w:rsid w:val="00C12EDF"/>
    <w:rsid w:val="00C22094"/>
    <w:rsid w:val="00C42110"/>
    <w:rsid w:val="00C42C82"/>
    <w:rsid w:val="00C440FC"/>
    <w:rsid w:val="00C47B39"/>
    <w:rsid w:val="00C5205B"/>
    <w:rsid w:val="00C5599F"/>
    <w:rsid w:val="00C632FF"/>
    <w:rsid w:val="00C664C6"/>
    <w:rsid w:val="00C701B8"/>
    <w:rsid w:val="00C71D81"/>
    <w:rsid w:val="00C775DB"/>
    <w:rsid w:val="00C779A7"/>
    <w:rsid w:val="00C90E96"/>
    <w:rsid w:val="00C9247A"/>
    <w:rsid w:val="00CA3096"/>
    <w:rsid w:val="00CA49AE"/>
    <w:rsid w:val="00CA66D7"/>
    <w:rsid w:val="00CB12AA"/>
    <w:rsid w:val="00CB55A4"/>
    <w:rsid w:val="00CC4279"/>
    <w:rsid w:val="00CD325E"/>
    <w:rsid w:val="00CD3FE5"/>
    <w:rsid w:val="00CD7AC8"/>
    <w:rsid w:val="00CE6258"/>
    <w:rsid w:val="00CE6E5C"/>
    <w:rsid w:val="00CF06AB"/>
    <w:rsid w:val="00D0045E"/>
    <w:rsid w:val="00D02662"/>
    <w:rsid w:val="00D043D9"/>
    <w:rsid w:val="00D10F92"/>
    <w:rsid w:val="00D122A1"/>
    <w:rsid w:val="00D30AA9"/>
    <w:rsid w:val="00D32C61"/>
    <w:rsid w:val="00D35DA4"/>
    <w:rsid w:val="00D4060E"/>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B7AC5"/>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34B7"/>
    <w:rsid w:val="00F7551F"/>
    <w:rsid w:val="00F7592D"/>
    <w:rsid w:val="00F802DF"/>
    <w:rsid w:val="00F97D0B"/>
    <w:rsid w:val="00FA19D2"/>
    <w:rsid w:val="00FA6EB0"/>
    <w:rsid w:val="00FA76B1"/>
    <w:rsid w:val="00FB0755"/>
    <w:rsid w:val="00FB3A24"/>
    <w:rsid w:val="00FC2020"/>
    <w:rsid w:val="00FC2E52"/>
    <w:rsid w:val="00FC4827"/>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3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258</Words>
  <Characters>1477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9</cp:revision>
  <cp:lastPrinted>2018-10-11T18:11:00Z</cp:lastPrinted>
  <dcterms:created xsi:type="dcterms:W3CDTF">2024-10-02T19:00:00Z</dcterms:created>
  <dcterms:modified xsi:type="dcterms:W3CDTF">2024-10-08T00:00:00Z</dcterms:modified>
</cp:coreProperties>
</file>